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E746" w14:textId="77777777" w:rsidR="008F5171" w:rsidRPr="008F5171" w:rsidRDefault="008F5171" w:rsidP="008F5171">
      <w:pPr>
        <w:tabs>
          <w:tab w:val="left" w:pos="567"/>
        </w:tabs>
        <w:autoSpaceDE w:val="0"/>
        <w:autoSpaceDN w:val="0"/>
        <w:rPr>
          <w:rFonts w:asciiTheme="minorHAnsi" w:hAnsiTheme="minorHAnsi"/>
          <w:i/>
          <w:iCs/>
        </w:rPr>
      </w:pPr>
      <w:bookmarkStart w:id="0" w:name="_GoBack"/>
      <w:bookmarkEnd w:id="0"/>
      <w:r w:rsidRPr="008F5171">
        <w:rPr>
          <w:rFonts w:asciiTheme="minorHAnsi" w:hAnsiTheme="minorHAnsi"/>
          <w:i/>
          <w:iCs/>
        </w:rPr>
        <w:t>Maciej Mazurek</w:t>
      </w:r>
    </w:p>
    <w:p w14:paraId="7C9E4C75" w14:textId="77777777" w:rsidR="008F5171" w:rsidRPr="008F5171" w:rsidRDefault="008F5171" w:rsidP="008F5171">
      <w:pPr>
        <w:tabs>
          <w:tab w:val="left" w:pos="567"/>
        </w:tabs>
        <w:autoSpaceDE w:val="0"/>
        <w:autoSpaceDN w:val="0"/>
        <w:rPr>
          <w:rFonts w:asciiTheme="minorHAnsi" w:hAnsiTheme="minorHAnsi"/>
          <w:i/>
          <w:iCs/>
        </w:rPr>
      </w:pPr>
      <w:r w:rsidRPr="008F5171">
        <w:rPr>
          <w:rFonts w:asciiTheme="minorHAnsi" w:hAnsiTheme="minorHAnsi"/>
          <w:i/>
          <w:iCs/>
        </w:rPr>
        <w:t>PANS w Nysie</w:t>
      </w:r>
    </w:p>
    <w:p w14:paraId="69727E0B" w14:textId="77777777" w:rsidR="00ED2170" w:rsidRDefault="00ED2170" w:rsidP="00821A81">
      <w:pPr>
        <w:tabs>
          <w:tab w:val="left" w:pos="567"/>
        </w:tabs>
        <w:autoSpaceDE w:val="0"/>
        <w:autoSpaceDN w:val="0"/>
      </w:pPr>
    </w:p>
    <w:p w14:paraId="5604A0B3" w14:textId="77777777" w:rsidR="00265A6F" w:rsidRPr="00244243" w:rsidRDefault="00265A6F" w:rsidP="00821A81">
      <w:pPr>
        <w:tabs>
          <w:tab w:val="left" w:pos="567"/>
        </w:tabs>
        <w:autoSpaceDE w:val="0"/>
        <w:autoSpaceDN w:val="0"/>
      </w:pPr>
    </w:p>
    <w:p w14:paraId="3514E48E" w14:textId="281A741A" w:rsidR="004467DD" w:rsidRDefault="00ED00A1" w:rsidP="008F5171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  <w:lang w:eastAsia="zh-CN" w:bidi="hi-IN"/>
        </w:rPr>
      </w:pPr>
      <w:r w:rsidRPr="00ED00A1">
        <w:rPr>
          <w:rFonts w:ascii="Calibri" w:hAnsi="Calibri" w:cs="Calibri"/>
          <w:b/>
          <w:bCs/>
          <w:color w:val="EE0000"/>
          <w:sz w:val="28"/>
          <w:szCs w:val="28"/>
          <w:lang w:eastAsia="zh-CN" w:bidi="hi-IN"/>
        </w:rPr>
        <w:t xml:space="preserve">Tytuł </w:t>
      </w:r>
      <w:r w:rsidR="0036771A" w:rsidRPr="0036771A">
        <w:rPr>
          <w:rFonts w:ascii="Calibri" w:hAnsi="Calibri" w:cs="Calibri"/>
          <w:b/>
          <w:bCs/>
          <w:sz w:val="28"/>
          <w:szCs w:val="28"/>
          <w:lang w:eastAsia="zh-CN" w:bidi="hi-IN"/>
        </w:rPr>
        <w:t>Zioła, warzywa, owoce i substancje czynne</w:t>
      </w:r>
      <w:r w:rsidR="0036771A">
        <w:rPr>
          <w:rFonts w:ascii="Calibri" w:hAnsi="Calibri" w:cs="Calibri"/>
          <w:b/>
          <w:bCs/>
          <w:sz w:val="28"/>
          <w:szCs w:val="28"/>
          <w:lang w:eastAsia="zh-CN" w:bidi="hi-IN"/>
        </w:rPr>
        <w:br/>
      </w:r>
      <w:r w:rsidR="0036771A" w:rsidRPr="0036771A">
        <w:rPr>
          <w:rFonts w:ascii="Calibri" w:hAnsi="Calibri" w:cs="Calibri"/>
          <w:b/>
          <w:bCs/>
          <w:sz w:val="28"/>
          <w:szCs w:val="28"/>
          <w:lang w:eastAsia="zh-CN" w:bidi="hi-IN"/>
        </w:rPr>
        <w:t xml:space="preserve"> stosowane w kosmetyce</w:t>
      </w:r>
      <w:r w:rsidR="008F5171" w:rsidRPr="00265A6F">
        <w:rPr>
          <w:rFonts w:asciiTheme="minorHAnsi" w:hAnsiTheme="minorHAnsi" w:cstheme="minorHAnsi"/>
          <w:b/>
          <w:bCs/>
          <w:sz w:val="28"/>
          <w:szCs w:val="28"/>
          <w:lang w:eastAsia="zh-CN" w:bidi="hi-IN"/>
        </w:rPr>
        <w:t xml:space="preserve"> </w:t>
      </w:r>
    </w:p>
    <w:p w14:paraId="2E6180E9" w14:textId="77777777" w:rsidR="008F5171" w:rsidRDefault="008F5171" w:rsidP="008F5171">
      <w:pPr>
        <w:suppressAutoHyphens/>
        <w:jc w:val="center"/>
        <w:rPr>
          <w:rFonts w:eastAsia="Calibri"/>
          <w:lang w:eastAsia="en-US"/>
        </w:rPr>
      </w:pPr>
    </w:p>
    <w:p w14:paraId="43F5809B" w14:textId="77777777" w:rsidR="008F5171" w:rsidRPr="00265A6F" w:rsidRDefault="008F5171" w:rsidP="008F5171">
      <w:pPr>
        <w:suppressAutoHyphens/>
        <w:jc w:val="center"/>
        <w:rPr>
          <w:rFonts w:eastAsia="Calibri"/>
          <w:lang w:eastAsia="en-US"/>
        </w:rPr>
      </w:pPr>
    </w:p>
    <w:p w14:paraId="7D90F772" w14:textId="77777777" w:rsidR="004467DD" w:rsidRPr="00687EB1" w:rsidRDefault="004467DD" w:rsidP="00821A81">
      <w:pPr>
        <w:jc w:val="both"/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</w:pPr>
      <w:r w:rsidRPr="00687EB1">
        <w:rPr>
          <w:rFonts w:asciiTheme="minorHAnsi" w:eastAsia="Calibri" w:hAnsiTheme="minorHAnsi"/>
          <w:b/>
          <w:bCs/>
          <w:color w:val="FF0000"/>
          <w:sz w:val="22"/>
          <w:szCs w:val="22"/>
          <w:lang w:eastAsia="en-US"/>
        </w:rPr>
        <w:t>Streszczenie</w:t>
      </w:r>
    </w:p>
    <w:p w14:paraId="7B130EA8" w14:textId="0BA9A56C" w:rsidR="0036771A" w:rsidRPr="0036771A" w:rsidRDefault="00ED00A1" w:rsidP="008F5171">
      <w:pPr>
        <w:spacing w:after="120"/>
        <w:jc w:val="both"/>
        <w:rPr>
          <w:sz w:val="22"/>
          <w:szCs w:val="22"/>
        </w:rPr>
      </w:pPr>
      <w:r>
        <w:rPr>
          <w:sz w:val="22"/>
        </w:rPr>
        <w:t>M</w:t>
      </w:r>
      <w:r w:rsidR="008F5171" w:rsidRPr="00845793">
        <w:rPr>
          <w:sz w:val="22"/>
        </w:rPr>
        <w:t>etody</w:t>
      </w:r>
      <w:r w:rsidR="00ED2170">
        <w:rPr>
          <w:sz w:val="22"/>
          <w:szCs w:val="22"/>
        </w:rPr>
        <w:t>….</w:t>
      </w:r>
    </w:p>
    <w:p w14:paraId="142A3138" w14:textId="77777777" w:rsidR="008F5171" w:rsidRPr="00C22CD8" w:rsidRDefault="008F5171" w:rsidP="008F5171">
      <w:pPr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lang w:eastAsia="en-US"/>
        </w:rPr>
      </w:pPr>
      <w:r w:rsidRPr="00C22CD8">
        <w:rPr>
          <w:rFonts w:ascii="Calibri" w:eastAsia="Calibri" w:hAnsi="Calibri" w:cs="Calibri"/>
          <w:b/>
          <w:bCs/>
          <w:color w:val="EE0000"/>
          <w:sz w:val="22"/>
          <w:szCs w:val="22"/>
          <w:lang w:eastAsia="en-US"/>
        </w:rPr>
        <w:t>Słowa kluczowe</w:t>
      </w:r>
    </w:p>
    <w:p w14:paraId="31AEEC64" w14:textId="289FD812" w:rsidR="008F5171" w:rsidRPr="00845793" w:rsidRDefault="0036771A" w:rsidP="008F5171">
      <w:pPr>
        <w:jc w:val="both"/>
        <w:rPr>
          <w:rFonts w:eastAsia="Calibri"/>
          <w:sz w:val="22"/>
          <w:szCs w:val="22"/>
          <w:lang w:eastAsia="en-US"/>
        </w:rPr>
      </w:pPr>
      <w:r w:rsidRPr="0036771A">
        <w:rPr>
          <w:rFonts w:eastAsia="Calibri"/>
          <w:sz w:val="22"/>
          <w:szCs w:val="22"/>
          <w:lang w:eastAsia="en-US"/>
        </w:rPr>
        <w:t xml:space="preserve">leczenie </w:t>
      </w:r>
      <w:r w:rsidR="00ED2170">
        <w:rPr>
          <w:rFonts w:eastAsia="Calibri"/>
          <w:sz w:val="22"/>
          <w:szCs w:val="22"/>
          <w:lang w:eastAsia="en-US"/>
        </w:rPr>
        <w:t>…</w:t>
      </w:r>
    </w:p>
    <w:p w14:paraId="33C8A88A" w14:textId="763EA058" w:rsidR="004467DD" w:rsidRPr="00265A6F" w:rsidRDefault="004467DD" w:rsidP="00821A81">
      <w:pPr>
        <w:jc w:val="both"/>
        <w:rPr>
          <w:rFonts w:eastAsia="Calibri"/>
          <w:sz w:val="22"/>
          <w:szCs w:val="22"/>
          <w:lang w:eastAsia="en-US"/>
        </w:rPr>
      </w:pPr>
    </w:p>
    <w:p w14:paraId="647E5EE0" w14:textId="77777777" w:rsidR="0036771A" w:rsidRPr="0036771A" w:rsidRDefault="0036771A" w:rsidP="0036771A">
      <w:pPr>
        <w:jc w:val="center"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</w:p>
    <w:p w14:paraId="5F0AA478" w14:textId="77777777" w:rsidR="0036771A" w:rsidRPr="0036771A" w:rsidRDefault="0036771A" w:rsidP="0036771A">
      <w:pPr>
        <w:jc w:val="center"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</w:p>
    <w:p w14:paraId="620F79F5" w14:textId="3765F8B6" w:rsidR="0036771A" w:rsidRPr="0036771A" w:rsidRDefault="0036771A" w:rsidP="0036771A">
      <w:pPr>
        <w:jc w:val="center"/>
        <w:rPr>
          <w:rFonts w:asciiTheme="minorHAnsi" w:hAnsiTheme="minorHAnsi"/>
          <w:sz w:val="26"/>
          <w:szCs w:val="26"/>
          <w:lang w:val="en-US"/>
        </w:rPr>
      </w:pPr>
      <w:proofErr w:type="spellStart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>Tytuł</w:t>
      </w:r>
      <w:proofErr w:type="spellEnd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 xml:space="preserve"> </w:t>
      </w:r>
      <w:proofErr w:type="spellStart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>angielski</w:t>
      </w:r>
      <w:proofErr w:type="spellEnd"/>
      <w:r w:rsidRPr="0036771A">
        <w:rPr>
          <w:rFonts w:ascii="Calibri" w:eastAsia="Calibri" w:hAnsi="Calibri" w:cs="Calibri"/>
          <w:b/>
          <w:bCs/>
          <w:sz w:val="26"/>
          <w:szCs w:val="26"/>
          <w:lang w:val="en-US" w:eastAsia="en-US"/>
        </w:rPr>
        <w:t xml:space="preserve"> Herbs, vegetables, fruits, and active substances used in cosmetics</w:t>
      </w:r>
    </w:p>
    <w:p w14:paraId="06C68DCA" w14:textId="77777777" w:rsidR="0036771A" w:rsidRPr="00C22CD8" w:rsidRDefault="0036771A" w:rsidP="0036771A">
      <w:pPr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</w:pPr>
      <w:r w:rsidRPr="00C22CD8"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  <w:t>Abstract</w:t>
      </w:r>
    </w:p>
    <w:p w14:paraId="0A3A3370" w14:textId="77777777" w:rsidR="0036771A" w:rsidRPr="008F5171" w:rsidRDefault="0036771A" w:rsidP="0036771A">
      <w:pPr>
        <w:spacing w:after="12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ED00A1">
        <w:rPr>
          <w:rFonts w:eastAsia="Calibri"/>
          <w:color w:val="EE0000"/>
          <w:sz w:val="22"/>
          <w:szCs w:val="22"/>
          <w:lang w:val="en-US" w:eastAsia="en-US"/>
        </w:rPr>
        <w:t>wielkość</w:t>
      </w:r>
      <w:proofErr w:type="spellEnd"/>
      <w:r w:rsidRPr="00ED00A1">
        <w:rPr>
          <w:rFonts w:eastAsia="Calibri"/>
          <w:color w:val="EE0000"/>
          <w:sz w:val="22"/>
          <w:szCs w:val="22"/>
          <w:lang w:val="en-US" w:eastAsia="en-US"/>
        </w:rPr>
        <w:t xml:space="preserve"> </w:t>
      </w:r>
      <w:proofErr w:type="spellStart"/>
      <w:r w:rsidRPr="00ED00A1">
        <w:rPr>
          <w:rFonts w:eastAsia="Calibri"/>
          <w:color w:val="EE0000"/>
          <w:sz w:val="22"/>
          <w:szCs w:val="22"/>
          <w:lang w:val="en-US" w:eastAsia="en-US"/>
        </w:rPr>
        <w:t>czcionki</w:t>
      </w:r>
      <w:proofErr w:type="spellEnd"/>
      <w:r w:rsidRPr="00ED00A1">
        <w:rPr>
          <w:rFonts w:eastAsia="Calibri"/>
          <w:color w:val="EE0000"/>
          <w:sz w:val="22"/>
          <w:szCs w:val="22"/>
          <w:lang w:val="en-US" w:eastAsia="en-US"/>
        </w:rPr>
        <w:t xml:space="preserve"> 11 pkt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 w:rsidRPr="008F5171">
        <w:rPr>
          <w:rFonts w:eastAsia="Calibri"/>
          <w:sz w:val="22"/>
          <w:szCs w:val="22"/>
          <w:lang w:val="en-US" w:eastAsia="en-US"/>
        </w:rPr>
        <w:t>The paper presents the classical method</w:t>
      </w:r>
      <w:r>
        <w:rPr>
          <w:rFonts w:eastAsia="Calibri"/>
          <w:sz w:val="22"/>
          <w:szCs w:val="22"/>
          <w:lang w:val="en-US" w:eastAsia="en-US"/>
        </w:rPr>
        <w:t>….</w:t>
      </w:r>
    </w:p>
    <w:p w14:paraId="75D3F3E0" w14:textId="77777777" w:rsidR="0036771A" w:rsidRPr="00C22CD8" w:rsidRDefault="0036771A" w:rsidP="0036771A">
      <w:pPr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</w:pPr>
      <w:r w:rsidRPr="00C22CD8"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  <w:t>Key words</w:t>
      </w:r>
    </w:p>
    <w:p w14:paraId="2E39F67A" w14:textId="77777777" w:rsidR="0036771A" w:rsidRPr="0036771A" w:rsidRDefault="0036771A" w:rsidP="0036771A">
      <w:pPr>
        <w:jc w:val="both"/>
        <w:rPr>
          <w:rFonts w:eastAsia="Calibri"/>
          <w:sz w:val="22"/>
          <w:szCs w:val="22"/>
          <w:lang w:eastAsia="en-US"/>
        </w:rPr>
      </w:pPr>
      <w:r w:rsidRPr="0036771A">
        <w:rPr>
          <w:rFonts w:eastAsia="Calibri"/>
          <w:sz w:val="22"/>
          <w:szCs w:val="22"/>
          <w:lang w:val="en" w:eastAsia="en-US"/>
        </w:rPr>
        <w:t>treatment</w:t>
      </w:r>
    </w:p>
    <w:p w14:paraId="5B9A50EB" w14:textId="77777777" w:rsidR="00244243" w:rsidRPr="00265A6F" w:rsidRDefault="00244243" w:rsidP="00821A81">
      <w:pPr>
        <w:jc w:val="both"/>
        <w:rPr>
          <w:rFonts w:eastAsia="Calibri"/>
          <w:sz w:val="22"/>
          <w:szCs w:val="22"/>
          <w:lang w:eastAsia="en-US"/>
        </w:rPr>
      </w:pPr>
    </w:p>
    <w:p w14:paraId="3FDC8D02" w14:textId="77777777" w:rsidR="00821A81" w:rsidRDefault="00821A81" w:rsidP="00821A81">
      <w:pPr>
        <w:tabs>
          <w:tab w:val="left" w:pos="567"/>
          <w:tab w:val="left" w:leader="dot" w:pos="6663"/>
        </w:tabs>
        <w:rPr>
          <w:lang w:val="en-US"/>
        </w:rPr>
      </w:pPr>
    </w:p>
    <w:p w14:paraId="1A6608E2" w14:textId="77777777" w:rsidR="00ED2170" w:rsidRPr="008F5171" w:rsidRDefault="00ED2170" w:rsidP="00821A81">
      <w:pPr>
        <w:tabs>
          <w:tab w:val="left" w:pos="567"/>
          <w:tab w:val="left" w:leader="dot" w:pos="6663"/>
        </w:tabs>
        <w:rPr>
          <w:lang w:val="en-US"/>
        </w:rPr>
      </w:pPr>
    </w:p>
    <w:p w14:paraId="7D55AAB8" w14:textId="77777777" w:rsidR="00265A6F" w:rsidRPr="008F5171" w:rsidRDefault="00265A6F" w:rsidP="00821A81">
      <w:pPr>
        <w:tabs>
          <w:tab w:val="left" w:pos="567"/>
          <w:tab w:val="left" w:leader="dot" w:pos="6663"/>
        </w:tabs>
        <w:rPr>
          <w:lang w:val="en-US"/>
        </w:rPr>
      </w:pPr>
    </w:p>
    <w:p w14:paraId="5D80D443" w14:textId="1E53F8D2" w:rsidR="008F5171" w:rsidRPr="00ED00A1" w:rsidRDefault="008F5171" w:rsidP="008F5171">
      <w:pPr>
        <w:tabs>
          <w:tab w:val="left" w:pos="567"/>
          <w:tab w:val="left" w:leader="dot" w:pos="6663"/>
        </w:tabs>
        <w:spacing w:after="180"/>
        <w:ind w:firstLine="567"/>
        <w:rPr>
          <w:rFonts w:asciiTheme="minorHAnsi" w:hAnsiTheme="minorHAnsi" w:cstheme="minorHAnsi"/>
          <w:b/>
          <w:bCs/>
          <w:color w:val="EE0000"/>
          <w:lang w:val="en-US"/>
        </w:rPr>
      </w:pPr>
      <w:proofErr w:type="spellStart"/>
      <w:r w:rsidRPr="00ED00A1">
        <w:rPr>
          <w:rFonts w:asciiTheme="minorHAnsi" w:hAnsiTheme="minorHAnsi" w:cstheme="minorHAnsi"/>
          <w:b/>
          <w:bCs/>
          <w:color w:val="EE0000"/>
          <w:lang w:val="en-US"/>
        </w:rPr>
        <w:t>Wprowadzenie</w:t>
      </w:r>
      <w:proofErr w:type="spellEnd"/>
    </w:p>
    <w:p w14:paraId="37224C1B" w14:textId="7B074991" w:rsidR="008F5171" w:rsidRPr="008F5171" w:rsidRDefault="00ED00A1" w:rsidP="008F5171">
      <w:pPr>
        <w:ind w:firstLine="567"/>
        <w:jc w:val="both"/>
      </w:pPr>
      <w:r w:rsidRPr="00ED00A1">
        <w:rPr>
          <w:color w:val="EE0000"/>
        </w:rPr>
        <w:t>wielkość czcionki 12 pkt</w:t>
      </w:r>
      <w:r w:rsidRPr="00ED00A1">
        <w:t xml:space="preserve"> </w:t>
      </w:r>
      <w:r w:rsidR="008F5171" w:rsidRPr="00845793">
        <w:t>Przedmiotem rozważań jest analiza rachunków bankowych pod względem ich użyteczności dla poszczególnych grup klientów. W tym artykule szczególną uwagę zwrócono na konta studenckie. Każde z kont jest scharakteryzowane przez pewne cechy. Te cechy decydują o jakości konta z punktu widzenia klienta. Końcowym rezultatem analizy ma być ranking rachunków, mający stanowić podstawę do podjęcia decyzji o wyborze konta. Do analizy zastosowano metodę porządkowania liniowego opisaną w [</w:t>
      </w:r>
      <w:r w:rsidR="00554F22">
        <w:t>1, s. 34</w:t>
      </w:r>
      <w:r w:rsidR="008F5171" w:rsidRPr="00845793">
        <w:t>]. W artykule zaprezentowano również propozycję modyfikacji metody, która może być podstawą utworzenia algorytmu tworzenia rankingu z uwzględnieniem przynajmniej niektórych statystycznych cech analizy zmiennych. Zaprezentowana metoda stanowi propozycję doboru zmien</w:t>
      </w:r>
      <w:r w:rsidR="008F5171" w:rsidRPr="00845793">
        <w:lastRenderedPageBreak/>
        <w:t xml:space="preserve">nych. W analizie taksonomicznej nie </w:t>
      </w:r>
      <w:r w:rsidR="008F5171" w:rsidRPr="008F5171">
        <w:t>ma jednak, w odróżnieniu od klasycznych modeli ekonometrycznych, zmiennej objaśnianej. Można powiedzieć, że „zmienna objaśniana” jest rezultatem powstałym w wyniku analizy. Tym rezultatem jest końcowy ranking obiektów</w:t>
      </w:r>
      <w:r w:rsidR="00554F22">
        <w:t xml:space="preserve"> </w:t>
      </w:r>
      <w:r w:rsidR="00554F22" w:rsidRPr="00845793">
        <w:t>[</w:t>
      </w:r>
      <w:r w:rsidR="00554F22">
        <w:t>2, s. 39</w:t>
      </w:r>
      <w:r w:rsidR="00554F22" w:rsidRPr="00845793">
        <w:t>]</w:t>
      </w:r>
      <w:r w:rsidR="008F5171" w:rsidRPr="008F5171">
        <w:t>.</w:t>
      </w:r>
    </w:p>
    <w:p w14:paraId="7811D012" w14:textId="77777777" w:rsidR="008F5171" w:rsidRPr="008F5171" w:rsidRDefault="008F5171" w:rsidP="008F5171">
      <w:pPr>
        <w:jc w:val="both"/>
        <w:rPr>
          <w:rStyle w:val="Pogrubienie"/>
          <w:b w:val="0"/>
          <w:bCs w:val="0"/>
        </w:rPr>
      </w:pPr>
    </w:p>
    <w:p w14:paraId="5E683A59" w14:textId="02E46DD3" w:rsidR="008F5171" w:rsidRPr="00C22CD8" w:rsidRDefault="008F5171" w:rsidP="008F5171">
      <w:pPr>
        <w:pStyle w:val="Akapitzlist"/>
        <w:numPr>
          <w:ilvl w:val="0"/>
          <w:numId w:val="46"/>
        </w:numPr>
        <w:spacing w:after="180"/>
        <w:rPr>
          <w:rStyle w:val="Pogrubienie"/>
          <w:rFonts w:ascii="Calibri" w:hAnsi="Calibri" w:cs="Calibri"/>
          <w:color w:val="EE0000"/>
        </w:rPr>
      </w:pPr>
      <w:r w:rsidRPr="00C22CD8">
        <w:rPr>
          <w:rStyle w:val="Pogrubienie"/>
          <w:rFonts w:ascii="Calibri" w:hAnsi="Calibri" w:cs="Calibri"/>
          <w:color w:val="EE0000"/>
        </w:rPr>
        <w:t>Metoda wzorca rozwoju</w:t>
      </w:r>
    </w:p>
    <w:p w14:paraId="464A4313" w14:textId="4A59309D" w:rsidR="007264B3" w:rsidRPr="00ED00A1" w:rsidRDefault="008F5171" w:rsidP="00ED00A1">
      <w:pPr>
        <w:autoSpaceDE w:val="0"/>
        <w:autoSpaceDN w:val="0"/>
        <w:adjustRightInd w:val="0"/>
        <w:ind w:firstLine="567"/>
        <w:jc w:val="both"/>
      </w:pPr>
      <w:r w:rsidRPr="00845793">
        <w:t>Poniższe badania polegają na stworzeniu rankingu najlepszych kont dla studentów do 24 roku życia. Do analizy zostanie wykorzystana metoda wzorca rozwoju, która pozwoli na stworzenie rankingu najlepszych banków. Banki tworz</w:t>
      </w:r>
      <w:r w:rsidRPr="00ED00A1">
        <w:t xml:space="preserve">ąc swoją ofertę przyjmują różne jednostki, czasami jest ustalona kwota od każdej transakcji, czasami jest to wartość procentowa, która zależy od kwoty na jaką dokonywana jest transakcja. W przypadku stosowania metody wzorca rozwoju, można ją stosować wyłącznie, gdy wszystkie zmienne </w:t>
      </w:r>
      <w:r w:rsidR="00ED00A1" w:rsidRPr="00ED00A1">
        <w:t>Pakiety wzmacniają Twoją ochronę w wybranych obszarach. Możesz</w:t>
      </w:r>
      <w:r w:rsidR="00ED00A1">
        <w:t xml:space="preserve"> </w:t>
      </w:r>
      <w:r w:rsidR="00ED00A1" w:rsidRPr="00ED00A1">
        <w:t xml:space="preserve">z nimi zyskać dostęp do usług </w:t>
      </w:r>
      <w:proofErr w:type="spellStart"/>
      <w:r w:rsidR="00ED00A1" w:rsidRPr="00ED00A1">
        <w:t>assistance</w:t>
      </w:r>
      <w:proofErr w:type="spellEnd"/>
      <w:r w:rsidR="00ED00A1" w:rsidRPr="00ED00A1">
        <w:t>, a w pakiecie onkologicznym –</w:t>
      </w:r>
      <w:r w:rsidR="00ED00A1">
        <w:t xml:space="preserve"> </w:t>
      </w:r>
      <w:r w:rsidR="00ED00A1" w:rsidRPr="00ED00A1">
        <w:t>do specjalistycznych usług medycznych. Świadczenie, które wypłacimy,</w:t>
      </w:r>
      <w:r w:rsidR="00ED00A1">
        <w:t xml:space="preserve"> </w:t>
      </w:r>
      <w:r w:rsidR="00ED00A1" w:rsidRPr="00ED00A1">
        <w:t>gdy dojdzie do zdarzenia objętego zakresem pakietu, powiększy</w:t>
      </w:r>
      <w:r w:rsidR="00ED00A1">
        <w:t xml:space="preserve"> </w:t>
      </w:r>
      <w:r w:rsidR="00ED00A1" w:rsidRPr="00ED00A1">
        <w:t>wsparcie finansowe z głównego ubezpieczenia</w:t>
      </w:r>
    </w:p>
    <w:p w14:paraId="5B634F81" w14:textId="77777777" w:rsidR="00ED00A1" w:rsidRDefault="00ED00A1" w:rsidP="00265A6F">
      <w:pPr>
        <w:ind w:firstLine="567"/>
        <w:jc w:val="both"/>
      </w:pPr>
    </w:p>
    <w:p w14:paraId="46C09C2B" w14:textId="355AC036" w:rsidR="007264B3" w:rsidRPr="00ED00A1" w:rsidRDefault="00BD0B66" w:rsidP="00ED00A1">
      <w:pPr>
        <w:spacing w:after="120"/>
        <w:jc w:val="both"/>
        <w:rPr>
          <w:rFonts w:asciiTheme="minorHAnsi" w:hAnsiTheme="minorHAnsi" w:cstheme="minorHAnsi"/>
        </w:rPr>
      </w:pPr>
      <w:r w:rsidRPr="00BD0B66">
        <w:rPr>
          <w:rFonts w:asciiTheme="minorHAnsi" w:hAnsiTheme="minorHAnsi" w:cstheme="minorHAnsi"/>
          <w:sz w:val="22"/>
          <w:szCs w:val="22"/>
        </w:rPr>
        <w:t xml:space="preserve">Tabela </w:t>
      </w:r>
      <w:r w:rsidR="00D803B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D0B66">
        <w:rPr>
          <w:rFonts w:asciiTheme="minorHAnsi" w:hAnsiTheme="minorHAnsi" w:cstheme="minorHAnsi"/>
          <w:sz w:val="22"/>
          <w:szCs w:val="22"/>
        </w:rPr>
        <w:t xml:space="preserve"> Miara rozwoju dla zredukowanego zbioru </w:t>
      </w:r>
      <w:r w:rsidR="00ED00A1" w:rsidRPr="00ED00A1">
        <w:rPr>
          <w:rFonts w:eastAsia="Calibri"/>
          <w:color w:val="EE0000"/>
          <w:sz w:val="22"/>
          <w:szCs w:val="22"/>
          <w:lang w:eastAsia="en-US"/>
        </w:rPr>
        <w:t>wielkość czcionki 11 pkt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034"/>
        <w:gridCol w:w="1034"/>
        <w:gridCol w:w="1034"/>
        <w:gridCol w:w="1034"/>
        <w:gridCol w:w="1232"/>
        <w:gridCol w:w="969"/>
      </w:tblGrid>
      <w:tr w:rsidR="00BD0B66" w:rsidRPr="00E35ACB" w14:paraId="20D813AF" w14:textId="77777777" w:rsidTr="00E35ACB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72479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2EF0E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DD8C10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532518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C2D70C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X7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C0AC3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X10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BB768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mi(1)</w:t>
            </w:r>
          </w:p>
        </w:tc>
      </w:tr>
      <w:tr w:rsidR="00BD0B66" w:rsidRPr="00E35ACB" w14:paraId="07FE108F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7E0A4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B2AB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21B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29EC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FE4E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B953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0677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0,487131</w:t>
            </w:r>
          </w:p>
        </w:tc>
      </w:tr>
      <w:tr w:rsidR="00BD0B66" w:rsidRPr="00E35ACB" w14:paraId="0304596D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CDE6A3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C6E4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0434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FD89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1E8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E063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D15A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0,451428</w:t>
            </w:r>
          </w:p>
        </w:tc>
      </w:tr>
      <w:tr w:rsidR="00BD0B66" w:rsidRPr="00E35ACB" w14:paraId="4DD8C57E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74F16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EA7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CDA9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B9B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7BD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E98E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65CF9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0,627447</w:t>
            </w:r>
          </w:p>
        </w:tc>
      </w:tr>
      <w:tr w:rsidR="00BD0B66" w:rsidRPr="00E35ACB" w14:paraId="78DEA9FF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1D481F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7C7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CBB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9680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8BB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8D9A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E32C6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0,673386</w:t>
            </w:r>
          </w:p>
        </w:tc>
      </w:tr>
      <w:tr w:rsidR="00BD0B66" w:rsidRPr="00E35ACB" w14:paraId="7406290A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2C9433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260A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52B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B402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8ACB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4DF6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1A36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0,552959</w:t>
            </w:r>
          </w:p>
        </w:tc>
      </w:tr>
      <w:tr w:rsidR="00BD0B66" w:rsidRPr="00E35ACB" w14:paraId="2A5C11D9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14C2F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821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609B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24DB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937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0982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D9BE08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0,648593</w:t>
            </w:r>
          </w:p>
        </w:tc>
      </w:tr>
      <w:tr w:rsidR="00BD0B66" w:rsidRPr="00E35ACB" w14:paraId="42CFF0F9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57C9D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12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0EE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5D3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70F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0B0B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A8CFF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0,364542</w:t>
            </w:r>
          </w:p>
        </w:tc>
      </w:tr>
      <w:tr w:rsidR="00BD0B66" w:rsidRPr="00E35ACB" w14:paraId="17D1993A" w14:textId="77777777" w:rsidTr="00E35A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5C4E3C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1C1A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F625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EE7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286A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294D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B2AB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0,469507</w:t>
            </w:r>
          </w:p>
        </w:tc>
      </w:tr>
      <w:tr w:rsidR="00BD0B66" w:rsidRPr="00E35ACB" w14:paraId="31054B20" w14:textId="77777777" w:rsidTr="00E35AC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00023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WZORZ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3627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3E2C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-2,015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0D2E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6678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-0,747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17CB62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-0,378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E23482" w14:textId="708CF694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D0B66" w:rsidRPr="00E35ACB" w14:paraId="7FD75564" w14:textId="77777777" w:rsidTr="00E35A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FD3AE" w14:textId="77777777" w:rsidR="00BD0B66" w:rsidRPr="00E35ACB" w:rsidRDefault="00BD0B66" w:rsidP="00F11A1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ANTYW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897DF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B721CC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87C8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D4232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15021" w14:textId="77777777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A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BE544" w14:textId="6ADC6DEB" w:rsidR="00BD0B66" w:rsidRPr="00E35ACB" w:rsidRDefault="00BD0B66" w:rsidP="00E35A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D65AA77" w14:textId="2683551C" w:rsidR="00BD0B66" w:rsidRPr="00ED00A1" w:rsidRDefault="00BD0B66" w:rsidP="00E35ACB">
      <w:pPr>
        <w:spacing w:before="60"/>
        <w:ind w:firstLine="284"/>
        <w:rPr>
          <w:rFonts w:asciiTheme="minorHAnsi" w:hAnsiTheme="minorHAnsi" w:cstheme="minorHAnsi"/>
          <w:color w:val="EE0000"/>
          <w:sz w:val="20"/>
          <w:szCs w:val="20"/>
        </w:rPr>
      </w:pPr>
      <w:r w:rsidRPr="00BD0B66">
        <w:rPr>
          <w:rFonts w:asciiTheme="minorHAnsi" w:hAnsiTheme="minorHAnsi" w:cstheme="minorHAnsi"/>
          <w:sz w:val="20"/>
          <w:szCs w:val="20"/>
        </w:rPr>
        <w:t>Źródło: Obliczenia własne</w:t>
      </w:r>
      <w:r w:rsidR="00ED00A1" w:rsidRPr="00ED00A1">
        <w:rPr>
          <w:rFonts w:eastAsia="Calibri"/>
          <w:color w:val="EE0000"/>
          <w:sz w:val="22"/>
          <w:szCs w:val="22"/>
          <w:lang w:eastAsia="en-US"/>
        </w:rPr>
        <w:t xml:space="preserve"> </w:t>
      </w:r>
      <w:r w:rsidR="00ED00A1" w:rsidRPr="00ED00A1">
        <w:rPr>
          <w:rFonts w:asciiTheme="minorHAnsi" w:hAnsiTheme="minorHAnsi" w:cstheme="minorHAnsi"/>
          <w:color w:val="EE0000"/>
          <w:sz w:val="20"/>
          <w:szCs w:val="20"/>
        </w:rPr>
        <w:t>wielkość czcionki 1</w:t>
      </w:r>
      <w:r w:rsidR="00ED00A1">
        <w:rPr>
          <w:rFonts w:asciiTheme="minorHAnsi" w:hAnsiTheme="minorHAnsi" w:cstheme="minorHAnsi"/>
          <w:color w:val="EE0000"/>
          <w:sz w:val="20"/>
          <w:szCs w:val="20"/>
        </w:rPr>
        <w:t>0</w:t>
      </w:r>
      <w:r w:rsidR="00ED00A1" w:rsidRPr="00ED00A1">
        <w:rPr>
          <w:rFonts w:asciiTheme="minorHAnsi" w:hAnsiTheme="minorHAnsi" w:cstheme="minorHAnsi"/>
          <w:color w:val="EE0000"/>
          <w:sz w:val="20"/>
          <w:szCs w:val="20"/>
        </w:rPr>
        <w:t xml:space="preserve"> pkt</w:t>
      </w:r>
    </w:p>
    <w:p w14:paraId="03CDECE7" w14:textId="77777777" w:rsidR="00ED2170" w:rsidRDefault="00ED2170" w:rsidP="00265A6F">
      <w:pPr>
        <w:ind w:firstLine="567"/>
        <w:jc w:val="both"/>
      </w:pPr>
    </w:p>
    <w:p w14:paraId="73B10C97" w14:textId="77777777" w:rsidR="00ED00A1" w:rsidRDefault="00ED00A1" w:rsidP="00265A6F">
      <w:pPr>
        <w:ind w:firstLine="567"/>
        <w:jc w:val="both"/>
      </w:pPr>
    </w:p>
    <w:p w14:paraId="1350165F" w14:textId="77777777" w:rsidR="00BD0B66" w:rsidRDefault="00BD0B66" w:rsidP="00BD0B66">
      <w:pPr>
        <w:ind w:firstLine="567"/>
        <w:jc w:val="both"/>
      </w:pPr>
      <w:r w:rsidRPr="00845793">
        <w:t>W efekcie otrzymuje się inny ranking. Przedstawiono go na rysunku 2.</w:t>
      </w:r>
    </w:p>
    <w:p w14:paraId="248212D7" w14:textId="77777777" w:rsidR="00E35ACB" w:rsidRPr="00E35ACB" w:rsidRDefault="00E35ACB" w:rsidP="00BD0B66">
      <w:pPr>
        <w:ind w:firstLine="567"/>
        <w:jc w:val="both"/>
        <w:rPr>
          <w:sz w:val="20"/>
          <w:szCs w:val="20"/>
        </w:rPr>
      </w:pPr>
    </w:p>
    <w:p w14:paraId="45813E23" w14:textId="5870E0B2" w:rsidR="00E35ACB" w:rsidRPr="00845793" w:rsidRDefault="00E35ACB" w:rsidP="00E35ACB">
      <w:pPr>
        <w:jc w:val="center"/>
      </w:pPr>
      <w:r w:rsidRPr="00845793">
        <w:rPr>
          <w:noProof/>
          <w14:ligatures w14:val="standardContextual"/>
        </w:rPr>
        <w:lastRenderedPageBreak/>
        <w:drawing>
          <wp:inline distT="0" distB="0" distL="0" distR="0" wp14:anchorId="7D68EDEB" wp14:editId="2E9EA68C">
            <wp:extent cx="4413435" cy="2606020"/>
            <wp:effectExtent l="0" t="0" r="6350" b="4445"/>
            <wp:docPr id="213671613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E08AE6C-D6A3-A932-9419-AFC979043D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6C0D0E" w14:textId="451F5AEB" w:rsidR="00E35ACB" w:rsidRPr="00ED00A1" w:rsidRDefault="00E35ACB" w:rsidP="00E35ACB">
      <w:pPr>
        <w:pStyle w:val="Legenda"/>
        <w:spacing w:before="120" w:after="0"/>
        <w:jc w:val="center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BD0B66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Rysunek 2. Ranking kont bankowych po modyfikacji</w:t>
      </w:r>
      <w:r w:rsidR="00ED00A1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</w:t>
      </w:r>
      <w:r w:rsidR="00ED00A1" w:rsidRPr="00ED00A1">
        <w:rPr>
          <w:rFonts w:eastAsia="Calibri"/>
          <w:i w:val="0"/>
          <w:iCs w:val="0"/>
          <w:color w:val="EE0000"/>
          <w:sz w:val="22"/>
          <w:szCs w:val="22"/>
          <w:lang w:eastAsia="en-US"/>
        </w:rPr>
        <w:t>wielkość czcionki 11 pkt</w:t>
      </w:r>
    </w:p>
    <w:p w14:paraId="0B693297" w14:textId="010BBD9F" w:rsidR="00D803B7" w:rsidRPr="00ED00A1" w:rsidRDefault="00ED00A1" w:rsidP="00ED00A1">
      <w:pPr>
        <w:ind w:firstLine="567"/>
        <w:jc w:val="center"/>
        <w:rPr>
          <w:rFonts w:asciiTheme="minorHAnsi" w:hAnsiTheme="minorHAnsi" w:cstheme="minorHAnsi"/>
          <w:sz w:val="20"/>
          <w:szCs w:val="20"/>
        </w:rPr>
      </w:pPr>
      <w:r w:rsidRPr="00ED00A1">
        <w:rPr>
          <w:rFonts w:asciiTheme="minorHAnsi" w:hAnsiTheme="minorHAnsi" w:cstheme="minorHAnsi"/>
          <w:sz w:val="20"/>
          <w:szCs w:val="20"/>
        </w:rPr>
        <w:t>Źródło: Opracowanie własne</w:t>
      </w:r>
      <w:r w:rsidRPr="00ED00A1">
        <w:rPr>
          <w:rFonts w:asciiTheme="minorHAnsi" w:hAnsiTheme="minorHAnsi" w:cstheme="minorHAnsi"/>
          <w:color w:val="EE0000"/>
          <w:sz w:val="20"/>
          <w:szCs w:val="20"/>
        </w:rPr>
        <w:t xml:space="preserve"> wielkość czcionki 1</w:t>
      </w:r>
      <w:r>
        <w:rPr>
          <w:rFonts w:asciiTheme="minorHAnsi" w:hAnsiTheme="minorHAnsi" w:cstheme="minorHAnsi"/>
          <w:color w:val="EE0000"/>
          <w:sz w:val="20"/>
          <w:szCs w:val="20"/>
        </w:rPr>
        <w:t>0</w:t>
      </w:r>
      <w:r w:rsidRPr="00ED00A1">
        <w:rPr>
          <w:rFonts w:asciiTheme="minorHAnsi" w:hAnsiTheme="minorHAnsi" w:cstheme="minorHAnsi"/>
          <w:color w:val="EE0000"/>
          <w:sz w:val="20"/>
          <w:szCs w:val="20"/>
        </w:rPr>
        <w:t xml:space="preserve"> pkt</w:t>
      </w:r>
    </w:p>
    <w:p w14:paraId="481DBB98" w14:textId="77777777" w:rsidR="00D803B7" w:rsidRDefault="00D803B7" w:rsidP="00D803B7">
      <w:pPr>
        <w:ind w:firstLine="567"/>
      </w:pPr>
    </w:p>
    <w:p w14:paraId="5AEE02DC" w14:textId="77777777" w:rsidR="00D803B7" w:rsidRDefault="00D803B7" w:rsidP="00D803B7">
      <w:pPr>
        <w:ind w:firstLine="567"/>
      </w:pPr>
    </w:p>
    <w:p w14:paraId="61541357" w14:textId="77777777" w:rsidR="00D803B7" w:rsidRPr="00D803B7" w:rsidRDefault="00D803B7" w:rsidP="00D803B7">
      <w:pPr>
        <w:ind w:firstLine="567"/>
      </w:pPr>
    </w:p>
    <w:p w14:paraId="5F67F19C" w14:textId="5376B0CB" w:rsidR="00BD0B66" w:rsidRPr="00C22CD8" w:rsidRDefault="00BD0B66" w:rsidP="00D4718B">
      <w:pPr>
        <w:spacing w:after="180"/>
        <w:ind w:firstLine="567"/>
        <w:rPr>
          <w:rFonts w:ascii="Calibri" w:hAnsi="Calibri" w:cs="Calibri"/>
          <w:b/>
          <w:bCs/>
          <w:color w:val="EE0000"/>
        </w:rPr>
      </w:pPr>
      <w:r w:rsidRPr="00C22CD8">
        <w:rPr>
          <w:rFonts w:ascii="Calibri" w:hAnsi="Calibri" w:cs="Calibri"/>
          <w:b/>
          <w:bCs/>
          <w:color w:val="EE0000"/>
        </w:rPr>
        <w:t>Zakończenie</w:t>
      </w:r>
    </w:p>
    <w:p w14:paraId="1668B02D" w14:textId="0CF48449" w:rsidR="004F049E" w:rsidRDefault="00BD0B66" w:rsidP="00D4718B">
      <w:pPr>
        <w:ind w:firstLine="567"/>
        <w:jc w:val="both"/>
      </w:pPr>
      <w:r w:rsidRPr="00845793">
        <w:t xml:space="preserve">Proponowana metoda jest podobna do procedury doboru zmiennych </w:t>
      </w:r>
      <w:r w:rsidR="00D4718B">
        <w:br/>
      </w:r>
      <w:r w:rsidRPr="00845793">
        <w:t xml:space="preserve">w modelach ekonometrycznych. Brak zmiennej objaśnianej spowodował konieczność wykreowania takiej zmiennej w wyniku zastosowanie metody wzorca rozwoju. Z uwagi na małą próbę posłużono się jedynie pochodzącą </w:t>
      </w:r>
      <w:r w:rsidR="00D4718B">
        <w:br/>
      </w:r>
      <w:r w:rsidRPr="00845793">
        <w:t>z próby wartością współczynnika tau Kendalla. Możliwość stworzenia bardziej precyzyjnego algorytmu pociągałaby za sobą konieczność rozpatrzenia dokładnego rozkładu tau Kendalla np. z wykorzystaniem metody inwersji [</w:t>
      </w:r>
      <w:r w:rsidR="00554F22">
        <w:t>3</w:t>
      </w:r>
      <w:r>
        <w:t xml:space="preserve">, </w:t>
      </w:r>
      <w:r w:rsidR="00554F22">
        <w:t>s. 23</w:t>
      </w:r>
      <w:r>
        <w:t>4</w:t>
      </w:r>
      <w:r w:rsidRPr="00845793">
        <w:t>]. Nawet jednak w tym przypadku należałoby zmodyfikować metodę na przypadek równych rang, to znaczy wtedy, gdy mamy do czynienia z parami równych obserwacji, a co za tym idzie równych rang.</w:t>
      </w:r>
      <w:r w:rsidR="004F049E">
        <w:br w:type="page"/>
      </w:r>
    </w:p>
    <w:p w14:paraId="0F50ECCF" w14:textId="77777777" w:rsidR="00EF4A85" w:rsidRDefault="00EF4A85" w:rsidP="00EF4A85">
      <w:pPr>
        <w:tabs>
          <w:tab w:val="left" w:pos="567"/>
        </w:tabs>
        <w:ind w:firstLine="567"/>
        <w:jc w:val="both"/>
      </w:pPr>
    </w:p>
    <w:p w14:paraId="095228BB" w14:textId="6D00B284" w:rsidR="00EF4A85" w:rsidRDefault="00EF4A85" w:rsidP="00EF4A85">
      <w:pPr>
        <w:tabs>
          <w:tab w:val="left" w:pos="567"/>
        </w:tabs>
        <w:spacing w:after="120"/>
        <w:ind w:firstLine="567"/>
        <w:jc w:val="both"/>
        <w:rPr>
          <w:rFonts w:asciiTheme="minorHAnsi" w:hAnsiTheme="minorHAnsi" w:cstheme="minorHAnsi"/>
          <w:b/>
          <w:bCs/>
          <w:color w:val="EE0000"/>
        </w:rPr>
      </w:pPr>
      <w:r w:rsidRPr="00C22CD8">
        <w:rPr>
          <w:rFonts w:asciiTheme="minorHAnsi" w:hAnsiTheme="minorHAnsi" w:cstheme="minorHAnsi"/>
          <w:b/>
          <w:bCs/>
          <w:color w:val="EE0000"/>
        </w:rPr>
        <w:t>Bibliografia</w:t>
      </w:r>
      <w:r w:rsidR="00554F22">
        <w:rPr>
          <w:rFonts w:asciiTheme="minorHAnsi" w:hAnsiTheme="minorHAnsi" w:cstheme="minorHAnsi"/>
          <w:b/>
          <w:bCs/>
          <w:color w:val="EE0000"/>
        </w:rPr>
        <w:t xml:space="preserve"> – w kolejności cytowania</w:t>
      </w:r>
    </w:p>
    <w:p w14:paraId="7BD17D9A" w14:textId="2DAF471C" w:rsidR="00BD0B66" w:rsidRPr="00BD0B66" w:rsidRDefault="00BD0B66" w:rsidP="0036771A">
      <w:pPr>
        <w:pStyle w:val="Akapitzlist"/>
        <w:numPr>
          <w:ilvl w:val="0"/>
          <w:numId w:val="45"/>
        </w:numPr>
        <w:suppressAutoHyphens/>
        <w:spacing w:after="120"/>
        <w:ind w:left="567" w:hanging="425"/>
        <w:contextualSpacing w:val="0"/>
        <w:rPr>
          <w:kern w:val="3"/>
          <w:sz w:val="22"/>
          <w:szCs w:val="22"/>
          <w:lang w:eastAsia="zh-CN" w:bidi="hi-IN"/>
        </w:rPr>
      </w:pPr>
      <w:r w:rsidRPr="00BD0B66">
        <w:rPr>
          <w:sz w:val="22"/>
          <w:szCs w:val="22"/>
          <w:lang w:eastAsia="zh-CN" w:bidi="hi-IN"/>
        </w:rPr>
        <w:t xml:space="preserve">Juraszek N., Czekała M., </w:t>
      </w:r>
      <w:r w:rsidRPr="00ED00A1">
        <w:rPr>
          <w:i/>
          <w:iCs/>
          <w:sz w:val="22"/>
          <w:szCs w:val="22"/>
          <w:lang w:eastAsia="zh-CN" w:bidi="hi-IN"/>
        </w:rPr>
        <w:t>Wybór funduszy inwestycyjnych - analiza parametrów</w:t>
      </w:r>
      <w:r w:rsidR="00ED00A1">
        <w:rPr>
          <w:sz w:val="22"/>
          <w:szCs w:val="22"/>
          <w:lang w:eastAsia="zh-CN" w:bidi="hi-IN"/>
        </w:rPr>
        <w:t>.</w:t>
      </w:r>
      <w:r w:rsidRPr="00BD0B66">
        <w:rPr>
          <w:sz w:val="22"/>
          <w:szCs w:val="22"/>
          <w:lang w:eastAsia="zh-CN" w:bidi="hi-IN"/>
        </w:rPr>
        <w:t xml:space="preserve"> </w:t>
      </w:r>
      <w:r w:rsidR="00ED00A1">
        <w:rPr>
          <w:sz w:val="22"/>
          <w:szCs w:val="22"/>
          <w:lang w:eastAsia="zh-CN" w:bidi="hi-IN"/>
        </w:rPr>
        <w:t>Czytelnik, Warszawa 2021.</w:t>
      </w:r>
    </w:p>
    <w:p w14:paraId="1B467D36" w14:textId="77777777" w:rsidR="0036771A" w:rsidRPr="00C906ED" w:rsidRDefault="0036771A" w:rsidP="0036771A">
      <w:pPr>
        <w:numPr>
          <w:ilvl w:val="0"/>
          <w:numId w:val="45"/>
        </w:numPr>
        <w:spacing w:after="120"/>
        <w:ind w:left="567" w:hanging="425"/>
        <w:jc w:val="both"/>
      </w:pPr>
      <w:r w:rsidRPr="00C906ED">
        <w:rPr>
          <w:i/>
          <w:iCs/>
        </w:rPr>
        <w:t>W jaki sposób rozporządzenie Dublin III reguluje przejmowanie migrantów?</w:t>
      </w:r>
      <w:r w:rsidRPr="00C906ED">
        <w:t xml:space="preserve">, Demagog, 18 czerwca 2024 r., </w:t>
      </w:r>
      <w:hyperlink r:id="rId9" w:tgtFrame="_new" w:history="1">
        <w:r w:rsidRPr="00C906ED">
          <w:rPr>
            <w:rStyle w:val="Hipercze"/>
          </w:rPr>
          <w:t>https://demagog.org.pl/wypowiedzi/w-jaki-sposob-rozporzadzenie-dublin-iii-reguluje-przejmowanie-migrantow</w:t>
        </w:r>
      </w:hyperlink>
      <w:r w:rsidRPr="00C906ED">
        <w:t>, dostęp: 2 października 2025 r</w:t>
      </w:r>
      <w:r>
        <w:t>.</w:t>
      </w:r>
    </w:p>
    <w:p w14:paraId="2ECC7F06" w14:textId="0367277D" w:rsidR="00BD0B66" w:rsidRPr="00BD0B66" w:rsidRDefault="00BD0B66" w:rsidP="0036771A">
      <w:pPr>
        <w:pStyle w:val="Akapitzlist"/>
        <w:numPr>
          <w:ilvl w:val="0"/>
          <w:numId w:val="45"/>
        </w:numPr>
        <w:spacing w:after="120"/>
        <w:ind w:left="567" w:hanging="425"/>
        <w:contextualSpacing w:val="0"/>
        <w:rPr>
          <w:sz w:val="22"/>
          <w:szCs w:val="22"/>
        </w:rPr>
      </w:pPr>
      <w:r w:rsidRPr="00BD0B66">
        <w:rPr>
          <w:sz w:val="22"/>
          <w:szCs w:val="22"/>
        </w:rPr>
        <w:t xml:space="preserve">Kufel T., Ekonometria. </w:t>
      </w:r>
      <w:r w:rsidRPr="00ED00A1">
        <w:rPr>
          <w:i/>
          <w:iCs/>
          <w:sz w:val="22"/>
          <w:szCs w:val="22"/>
        </w:rPr>
        <w:t>Rozwiązywanie problemów z wykorzystaniem programu GRETL</w:t>
      </w:r>
      <w:r w:rsidR="00ED00A1">
        <w:rPr>
          <w:sz w:val="22"/>
          <w:szCs w:val="22"/>
        </w:rPr>
        <w:t>. Zysk i Spółka, Warszawa 2024.</w:t>
      </w:r>
    </w:p>
    <w:p w14:paraId="7631C93E" w14:textId="4533EEE6" w:rsidR="00BD0B66" w:rsidRPr="0036771A" w:rsidRDefault="00BD0B66" w:rsidP="0036771A">
      <w:pPr>
        <w:pStyle w:val="Akapitzlist"/>
        <w:numPr>
          <w:ilvl w:val="0"/>
          <w:numId w:val="45"/>
        </w:numPr>
        <w:spacing w:after="120" w:line="288" w:lineRule="auto"/>
        <w:ind w:left="567" w:hanging="425"/>
        <w:contextualSpacing w:val="0"/>
        <w:rPr>
          <w:bCs/>
          <w:sz w:val="22"/>
          <w:szCs w:val="22"/>
        </w:rPr>
      </w:pPr>
      <w:r w:rsidRPr="0036771A">
        <w:rPr>
          <w:bCs/>
          <w:sz w:val="22"/>
          <w:szCs w:val="22"/>
        </w:rPr>
        <w:t>Mazurek M.,</w:t>
      </w:r>
      <w:r w:rsidR="00ED00A1" w:rsidRPr="0036771A">
        <w:rPr>
          <w:bCs/>
          <w:sz w:val="22"/>
          <w:szCs w:val="22"/>
        </w:rPr>
        <w:t xml:space="preserve"> </w:t>
      </w:r>
      <w:r w:rsidRPr="0036771A">
        <w:rPr>
          <w:bCs/>
          <w:i/>
          <w:iCs/>
          <w:sz w:val="22"/>
          <w:szCs w:val="22"/>
        </w:rPr>
        <w:t xml:space="preserve">Analiza i </w:t>
      </w:r>
      <w:bookmarkStart w:id="1" w:name="_Hlk167810842"/>
      <w:r w:rsidRPr="0036771A">
        <w:rPr>
          <w:bCs/>
          <w:i/>
          <w:iCs/>
          <w:sz w:val="22"/>
          <w:szCs w:val="22"/>
        </w:rPr>
        <w:t>porównanie ofert bankowych w kontekście różnorodności profili klientów</w:t>
      </w:r>
      <w:bookmarkEnd w:id="1"/>
      <w:r w:rsidR="00ED00A1" w:rsidRPr="0036771A">
        <w:rPr>
          <w:bCs/>
          <w:sz w:val="22"/>
          <w:szCs w:val="22"/>
        </w:rPr>
        <w:t>.</w:t>
      </w:r>
      <w:r w:rsidRPr="0036771A">
        <w:rPr>
          <w:bCs/>
          <w:sz w:val="22"/>
          <w:szCs w:val="22"/>
        </w:rPr>
        <w:t xml:space="preserve"> </w:t>
      </w:r>
      <w:r w:rsidR="00ED00A1" w:rsidRPr="0036771A">
        <w:rPr>
          <w:bCs/>
          <w:sz w:val="22"/>
          <w:szCs w:val="22"/>
        </w:rPr>
        <w:t>Oficyna Wydawnicza PANS w Nysie, Nysa 2022.</w:t>
      </w:r>
    </w:p>
    <w:p w14:paraId="36607E2E" w14:textId="77777777" w:rsidR="0036771A" w:rsidRPr="0036771A" w:rsidRDefault="0036771A" w:rsidP="0036771A">
      <w:pPr>
        <w:pStyle w:val="Akapitzlist"/>
        <w:numPr>
          <w:ilvl w:val="0"/>
          <w:numId w:val="48"/>
        </w:numPr>
        <w:tabs>
          <w:tab w:val="clear" w:pos="720"/>
          <w:tab w:val="num" w:pos="567"/>
        </w:tabs>
        <w:spacing w:after="120"/>
        <w:ind w:left="567" w:hanging="425"/>
        <w:rPr>
          <w:sz w:val="22"/>
          <w:szCs w:val="22"/>
        </w:rPr>
      </w:pPr>
      <w:proofErr w:type="spellStart"/>
      <w:r w:rsidRPr="0036771A">
        <w:rPr>
          <w:sz w:val="22"/>
          <w:szCs w:val="22"/>
        </w:rPr>
        <w:t>Talarska</w:t>
      </w:r>
      <w:proofErr w:type="spellEnd"/>
      <w:r w:rsidRPr="0036771A">
        <w:rPr>
          <w:sz w:val="22"/>
          <w:szCs w:val="22"/>
        </w:rPr>
        <w:t xml:space="preserve"> D., </w:t>
      </w:r>
      <w:proofErr w:type="spellStart"/>
      <w:r w:rsidRPr="0036771A">
        <w:rPr>
          <w:sz w:val="22"/>
          <w:szCs w:val="22"/>
        </w:rPr>
        <w:t>Wieczorowska-Tabis</w:t>
      </w:r>
      <w:proofErr w:type="spellEnd"/>
      <w:r w:rsidRPr="0036771A">
        <w:rPr>
          <w:sz w:val="22"/>
          <w:szCs w:val="22"/>
        </w:rPr>
        <w:t xml:space="preserve"> K., Szałkiewicz E., </w:t>
      </w:r>
      <w:r w:rsidRPr="0036771A">
        <w:rPr>
          <w:i/>
          <w:iCs/>
          <w:sz w:val="22"/>
          <w:szCs w:val="22"/>
        </w:rPr>
        <w:t>Opieka nad osobami przewlekle chorymi, w wieku podeszłym i niesamodzielnymi</w:t>
      </w:r>
      <w:r w:rsidRPr="0036771A">
        <w:rPr>
          <w:sz w:val="22"/>
          <w:szCs w:val="22"/>
        </w:rPr>
        <w:t>. Wydawnictwo Lekarskie PZWL, Warszawa 2009.</w:t>
      </w:r>
    </w:p>
    <w:p w14:paraId="6FB75369" w14:textId="294A8D37" w:rsidR="00ED00A1" w:rsidRPr="0036771A" w:rsidRDefault="00ED00A1" w:rsidP="0036771A">
      <w:pPr>
        <w:numPr>
          <w:ilvl w:val="0"/>
          <w:numId w:val="48"/>
        </w:numPr>
        <w:tabs>
          <w:tab w:val="clear" w:pos="720"/>
        </w:tabs>
        <w:spacing w:after="120"/>
        <w:ind w:left="567" w:hanging="425"/>
        <w:jc w:val="both"/>
        <w:rPr>
          <w:sz w:val="22"/>
          <w:szCs w:val="22"/>
        </w:rPr>
      </w:pPr>
    </w:p>
    <w:p w14:paraId="53DEEE9D" w14:textId="77777777" w:rsidR="0036771A" w:rsidRDefault="0036771A" w:rsidP="0036771A">
      <w:pPr>
        <w:jc w:val="center"/>
        <w:rPr>
          <w:rFonts w:ascii="Calibri" w:eastAsia="Calibri" w:hAnsi="Calibri" w:cs="Calibri"/>
          <w:b/>
          <w:bCs/>
          <w:color w:val="EE0000"/>
          <w:sz w:val="26"/>
          <w:szCs w:val="26"/>
          <w:lang w:eastAsia="en-US"/>
        </w:rPr>
      </w:pPr>
    </w:p>
    <w:p w14:paraId="62919C72" w14:textId="77777777" w:rsidR="0036771A" w:rsidRDefault="0036771A" w:rsidP="0036771A">
      <w:pPr>
        <w:jc w:val="center"/>
        <w:rPr>
          <w:rFonts w:ascii="Calibri" w:eastAsia="Calibri" w:hAnsi="Calibri" w:cs="Calibri"/>
          <w:b/>
          <w:bCs/>
          <w:color w:val="EE0000"/>
          <w:sz w:val="26"/>
          <w:szCs w:val="26"/>
          <w:lang w:eastAsia="en-US"/>
        </w:rPr>
      </w:pPr>
    </w:p>
    <w:p w14:paraId="2D97290D" w14:textId="77777777" w:rsidR="0036771A" w:rsidRDefault="0036771A" w:rsidP="0036771A">
      <w:pPr>
        <w:jc w:val="center"/>
        <w:rPr>
          <w:rFonts w:ascii="Calibri" w:eastAsia="Calibri" w:hAnsi="Calibri" w:cs="Calibri"/>
          <w:b/>
          <w:bCs/>
          <w:color w:val="EE0000"/>
          <w:sz w:val="26"/>
          <w:szCs w:val="26"/>
          <w:lang w:eastAsia="en-US"/>
        </w:rPr>
      </w:pPr>
    </w:p>
    <w:p w14:paraId="1C3D8451" w14:textId="77777777" w:rsidR="0036771A" w:rsidRDefault="0036771A" w:rsidP="0036771A">
      <w:pPr>
        <w:jc w:val="center"/>
        <w:rPr>
          <w:rFonts w:ascii="Calibri" w:eastAsia="Calibri" w:hAnsi="Calibri" w:cs="Calibri"/>
          <w:b/>
          <w:bCs/>
          <w:color w:val="EE0000"/>
          <w:sz w:val="26"/>
          <w:szCs w:val="26"/>
          <w:lang w:eastAsia="en-US"/>
        </w:rPr>
      </w:pPr>
    </w:p>
    <w:p w14:paraId="43BD8A90" w14:textId="7F09D995" w:rsidR="0036771A" w:rsidRPr="0036771A" w:rsidRDefault="0036771A" w:rsidP="0036771A">
      <w:pPr>
        <w:jc w:val="center"/>
        <w:rPr>
          <w:rFonts w:ascii="Calibri" w:eastAsia="Calibri" w:hAnsi="Calibri" w:cs="Calibri"/>
          <w:b/>
          <w:bCs/>
          <w:sz w:val="26"/>
          <w:szCs w:val="26"/>
          <w:lang w:val="en-US" w:eastAsia="en-US"/>
        </w:rPr>
      </w:pPr>
      <w:proofErr w:type="spellStart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>Tytuł</w:t>
      </w:r>
      <w:proofErr w:type="spellEnd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 xml:space="preserve"> </w:t>
      </w:r>
      <w:proofErr w:type="spellStart"/>
      <w:r w:rsidRPr="0036771A">
        <w:rPr>
          <w:rFonts w:ascii="Calibri" w:eastAsia="Calibri" w:hAnsi="Calibri" w:cs="Calibri"/>
          <w:b/>
          <w:bCs/>
          <w:color w:val="EE0000"/>
          <w:sz w:val="26"/>
          <w:szCs w:val="26"/>
          <w:lang w:val="en-US" w:eastAsia="en-US"/>
        </w:rPr>
        <w:t>angielski</w:t>
      </w:r>
      <w:proofErr w:type="spellEnd"/>
      <w:r w:rsidRPr="0036771A">
        <w:rPr>
          <w:rFonts w:ascii="Calibri" w:eastAsia="Calibri" w:hAnsi="Calibri" w:cs="Calibri"/>
          <w:b/>
          <w:bCs/>
          <w:sz w:val="26"/>
          <w:szCs w:val="26"/>
          <w:lang w:val="en-US" w:eastAsia="en-US"/>
        </w:rPr>
        <w:t xml:space="preserve"> Linear ordering - selection of variables</w:t>
      </w:r>
    </w:p>
    <w:p w14:paraId="59799492" w14:textId="77777777" w:rsidR="0036771A" w:rsidRPr="0036771A" w:rsidRDefault="0036771A" w:rsidP="00367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Theme="minorHAnsi" w:hAnsiTheme="minorHAnsi"/>
          <w:sz w:val="26"/>
          <w:szCs w:val="26"/>
          <w:lang w:val="en-US"/>
        </w:rPr>
      </w:pPr>
    </w:p>
    <w:p w14:paraId="28459236" w14:textId="77777777" w:rsidR="0036771A" w:rsidRPr="00C22CD8" w:rsidRDefault="0036771A" w:rsidP="0036771A">
      <w:pPr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</w:pPr>
      <w:r w:rsidRPr="00C22CD8"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  <w:t>Abstract</w:t>
      </w:r>
    </w:p>
    <w:p w14:paraId="1006EE0C" w14:textId="77777777" w:rsidR="0036771A" w:rsidRPr="008F5171" w:rsidRDefault="0036771A" w:rsidP="0036771A">
      <w:pPr>
        <w:spacing w:after="12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ED00A1">
        <w:rPr>
          <w:rFonts w:eastAsia="Calibri"/>
          <w:color w:val="EE0000"/>
          <w:sz w:val="22"/>
          <w:szCs w:val="22"/>
          <w:lang w:val="en-US" w:eastAsia="en-US"/>
        </w:rPr>
        <w:t>wielkość</w:t>
      </w:r>
      <w:proofErr w:type="spellEnd"/>
      <w:r w:rsidRPr="00ED00A1">
        <w:rPr>
          <w:rFonts w:eastAsia="Calibri"/>
          <w:color w:val="EE0000"/>
          <w:sz w:val="22"/>
          <w:szCs w:val="22"/>
          <w:lang w:val="en-US" w:eastAsia="en-US"/>
        </w:rPr>
        <w:t xml:space="preserve"> </w:t>
      </w:r>
      <w:proofErr w:type="spellStart"/>
      <w:r w:rsidRPr="00ED00A1">
        <w:rPr>
          <w:rFonts w:eastAsia="Calibri"/>
          <w:color w:val="EE0000"/>
          <w:sz w:val="22"/>
          <w:szCs w:val="22"/>
          <w:lang w:val="en-US" w:eastAsia="en-US"/>
        </w:rPr>
        <w:t>czcionki</w:t>
      </w:r>
      <w:proofErr w:type="spellEnd"/>
      <w:r w:rsidRPr="00ED00A1">
        <w:rPr>
          <w:rFonts w:eastAsia="Calibri"/>
          <w:color w:val="EE0000"/>
          <w:sz w:val="22"/>
          <w:szCs w:val="22"/>
          <w:lang w:val="en-US" w:eastAsia="en-US"/>
        </w:rPr>
        <w:t xml:space="preserve"> 11 pkt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 w:rsidRPr="008F5171">
        <w:rPr>
          <w:rFonts w:eastAsia="Calibri"/>
          <w:sz w:val="22"/>
          <w:szCs w:val="22"/>
          <w:lang w:val="en-US" w:eastAsia="en-US"/>
        </w:rPr>
        <w:t>The paper presents the classical method</w:t>
      </w:r>
      <w:r>
        <w:rPr>
          <w:rFonts w:eastAsia="Calibri"/>
          <w:sz w:val="22"/>
          <w:szCs w:val="22"/>
          <w:lang w:val="en-US" w:eastAsia="en-US"/>
        </w:rPr>
        <w:t>….</w:t>
      </w:r>
    </w:p>
    <w:p w14:paraId="74E70052" w14:textId="77777777" w:rsidR="0036771A" w:rsidRPr="00C22CD8" w:rsidRDefault="0036771A" w:rsidP="0036771A">
      <w:pPr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</w:pPr>
      <w:r w:rsidRPr="00C22CD8">
        <w:rPr>
          <w:rFonts w:ascii="Calibri" w:eastAsia="Calibri" w:hAnsi="Calibri" w:cs="Calibri"/>
          <w:b/>
          <w:bCs/>
          <w:color w:val="EE0000"/>
          <w:sz w:val="22"/>
          <w:szCs w:val="22"/>
          <w:lang w:val="en-US" w:eastAsia="en-US"/>
        </w:rPr>
        <w:t>Key words</w:t>
      </w:r>
    </w:p>
    <w:p w14:paraId="5D04524F" w14:textId="77777777" w:rsidR="0036771A" w:rsidRPr="008F5171" w:rsidRDefault="0036771A" w:rsidP="0036771A">
      <w:pPr>
        <w:tabs>
          <w:tab w:val="left" w:pos="567"/>
          <w:tab w:val="left" w:leader="dot" w:pos="6663"/>
        </w:tabs>
        <w:rPr>
          <w:sz w:val="22"/>
          <w:szCs w:val="22"/>
          <w:lang w:val="en-US"/>
        </w:rPr>
      </w:pPr>
      <w:r w:rsidRPr="008F5171">
        <w:rPr>
          <w:rFonts w:eastAsia="Calibri"/>
          <w:sz w:val="22"/>
          <w:szCs w:val="22"/>
          <w:lang w:val="en-US" w:eastAsia="en-US"/>
        </w:rPr>
        <w:t>Linear ordering,</w:t>
      </w:r>
      <w:r w:rsidRPr="008F5171">
        <w:rPr>
          <w:lang w:val="en-US"/>
        </w:rPr>
        <w:t xml:space="preserve"> </w:t>
      </w:r>
      <w:r w:rsidRPr="008F5171">
        <w:rPr>
          <w:rFonts w:eastAsia="Calibri"/>
          <w:sz w:val="22"/>
          <w:szCs w:val="22"/>
          <w:lang w:val="en-US" w:eastAsia="en-US"/>
        </w:rPr>
        <w:t>development</w:t>
      </w:r>
    </w:p>
    <w:sectPr w:rsidR="0036771A" w:rsidRPr="008F5171" w:rsidSect="00554F22">
      <w:footerReference w:type="even" r:id="rId10"/>
      <w:footerReference w:type="default" r:id="rId11"/>
      <w:footnotePr>
        <w:numRestart w:val="eachSect"/>
      </w:footnotePr>
      <w:pgSz w:w="9639" w:h="13608" w:code="9"/>
      <w:pgMar w:top="1134" w:right="1134" w:bottom="1134" w:left="1134" w:header="794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ADAE" w14:textId="77777777" w:rsidR="009C32D2" w:rsidRDefault="009C32D2">
      <w:r>
        <w:separator/>
      </w:r>
    </w:p>
  </w:endnote>
  <w:endnote w:type="continuationSeparator" w:id="0">
    <w:p w14:paraId="4F573B13" w14:textId="77777777" w:rsidR="009C32D2" w:rsidRDefault="009C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 Win95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inion 3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5408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357BAEE" w14:textId="09FE56F2" w:rsidR="00024DA2" w:rsidRPr="00024DA2" w:rsidRDefault="00024DA2">
        <w:pPr>
          <w:pStyle w:val="Stopka"/>
          <w:rPr>
            <w:rFonts w:asciiTheme="minorHAnsi" w:hAnsiTheme="minorHAnsi" w:cstheme="minorHAnsi"/>
            <w:sz w:val="22"/>
            <w:szCs w:val="22"/>
          </w:rPr>
        </w:pPr>
        <w:r w:rsidRPr="00024DA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24DA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24DA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24DA2">
          <w:rPr>
            <w:rFonts w:asciiTheme="minorHAnsi" w:hAnsiTheme="minorHAnsi" w:cstheme="minorHAnsi"/>
            <w:sz w:val="22"/>
            <w:szCs w:val="22"/>
          </w:rPr>
          <w:t>2</w:t>
        </w:r>
        <w:r w:rsidRPr="00024DA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7054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F5C265C" w14:textId="0CE4312F" w:rsidR="00AE58B0" w:rsidRPr="00024DA2" w:rsidRDefault="00024DA2" w:rsidP="00024DA2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024DA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24DA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24DA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24DA2">
          <w:rPr>
            <w:rFonts w:asciiTheme="minorHAnsi" w:hAnsiTheme="minorHAnsi" w:cstheme="minorHAnsi"/>
            <w:sz w:val="22"/>
            <w:szCs w:val="22"/>
          </w:rPr>
          <w:t>2</w:t>
        </w:r>
        <w:r w:rsidRPr="00024DA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93841" w14:textId="77777777" w:rsidR="009C32D2" w:rsidRDefault="009C32D2">
      <w:r>
        <w:separator/>
      </w:r>
    </w:p>
  </w:footnote>
  <w:footnote w:type="continuationSeparator" w:id="0">
    <w:p w14:paraId="4B6893CD" w14:textId="77777777" w:rsidR="009C32D2" w:rsidRDefault="009C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4D7"/>
    <w:multiLevelType w:val="multilevel"/>
    <w:tmpl w:val="2E6EB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3CA05F0"/>
    <w:multiLevelType w:val="hybridMultilevel"/>
    <w:tmpl w:val="9FEC8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EE3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E7EA5"/>
    <w:multiLevelType w:val="hybridMultilevel"/>
    <w:tmpl w:val="AF1C6D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33D"/>
    <w:multiLevelType w:val="hybridMultilevel"/>
    <w:tmpl w:val="4BB030E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0F2B48"/>
    <w:multiLevelType w:val="hybridMultilevel"/>
    <w:tmpl w:val="63ECBA94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005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7E5"/>
    <w:multiLevelType w:val="hybridMultilevel"/>
    <w:tmpl w:val="9ED01112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020F"/>
    <w:multiLevelType w:val="hybridMultilevel"/>
    <w:tmpl w:val="5CBC0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7A41"/>
    <w:multiLevelType w:val="hybridMultilevel"/>
    <w:tmpl w:val="2A7678A2"/>
    <w:lvl w:ilvl="0" w:tplc="EEC0B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41785"/>
    <w:multiLevelType w:val="hybridMultilevel"/>
    <w:tmpl w:val="75B2A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4427A"/>
    <w:multiLevelType w:val="hybridMultilevel"/>
    <w:tmpl w:val="09740BE2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473B0"/>
    <w:multiLevelType w:val="hybridMultilevel"/>
    <w:tmpl w:val="6CCA0C1A"/>
    <w:lvl w:ilvl="0" w:tplc="84543076">
      <w:start w:val="1"/>
      <w:numFmt w:val="lowerLetter"/>
      <w:lvlText w:val="%1)"/>
      <w:lvlJc w:val="left"/>
      <w:pPr>
        <w:ind w:left="1005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1" w15:restartNumberingAfterBreak="0">
    <w:nsid w:val="1A0A3041"/>
    <w:multiLevelType w:val="hybridMultilevel"/>
    <w:tmpl w:val="EAC8C0A4"/>
    <w:lvl w:ilvl="0" w:tplc="EE467E36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5C6C3A"/>
    <w:multiLevelType w:val="hybridMultilevel"/>
    <w:tmpl w:val="0180F4CE"/>
    <w:lvl w:ilvl="0" w:tplc="6DD03EE6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27666D"/>
    <w:multiLevelType w:val="hybridMultilevel"/>
    <w:tmpl w:val="677425A8"/>
    <w:lvl w:ilvl="0" w:tplc="1DC45D5E">
      <w:start w:val="1"/>
      <w:numFmt w:val="decimal"/>
      <w:lvlText w:val="[%1]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CFC1CBB"/>
    <w:multiLevelType w:val="hybridMultilevel"/>
    <w:tmpl w:val="E8D85AA0"/>
    <w:lvl w:ilvl="0" w:tplc="290051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BB490B"/>
    <w:multiLevelType w:val="hybridMultilevel"/>
    <w:tmpl w:val="5B925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0737E2"/>
    <w:multiLevelType w:val="hybridMultilevel"/>
    <w:tmpl w:val="94AE5A00"/>
    <w:lvl w:ilvl="0" w:tplc="13A294F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300AB"/>
    <w:multiLevelType w:val="singleLevel"/>
    <w:tmpl w:val="69042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3A62B7"/>
    <w:multiLevelType w:val="singleLevel"/>
    <w:tmpl w:val="69042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8D2332F"/>
    <w:multiLevelType w:val="hybridMultilevel"/>
    <w:tmpl w:val="A676A022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90514"/>
    <w:multiLevelType w:val="hybridMultilevel"/>
    <w:tmpl w:val="D2F21396"/>
    <w:lvl w:ilvl="0" w:tplc="0256E9E0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2D763F7E"/>
    <w:multiLevelType w:val="hybridMultilevel"/>
    <w:tmpl w:val="0E7E3B18"/>
    <w:lvl w:ilvl="0" w:tplc="4F9EE93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33C8F"/>
    <w:multiLevelType w:val="hybridMultilevel"/>
    <w:tmpl w:val="CF86E18E"/>
    <w:lvl w:ilvl="0" w:tplc="EEC0BC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0D200F"/>
    <w:multiLevelType w:val="hybridMultilevel"/>
    <w:tmpl w:val="3FA4E8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0957E5"/>
    <w:multiLevelType w:val="hybridMultilevel"/>
    <w:tmpl w:val="4F5A94B4"/>
    <w:lvl w:ilvl="0" w:tplc="CDFE2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DA7A37"/>
    <w:multiLevelType w:val="hybridMultilevel"/>
    <w:tmpl w:val="DCA8A162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005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0317B"/>
    <w:multiLevelType w:val="hybridMultilevel"/>
    <w:tmpl w:val="528646E4"/>
    <w:lvl w:ilvl="0" w:tplc="1C6221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2375C7"/>
    <w:multiLevelType w:val="hybridMultilevel"/>
    <w:tmpl w:val="03E0E58E"/>
    <w:lvl w:ilvl="0" w:tplc="DB4A64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63384"/>
    <w:multiLevelType w:val="hybridMultilevel"/>
    <w:tmpl w:val="44084C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532075"/>
    <w:multiLevelType w:val="hybridMultilevel"/>
    <w:tmpl w:val="AF0A8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963F3"/>
    <w:multiLevelType w:val="hybridMultilevel"/>
    <w:tmpl w:val="2B8858D4"/>
    <w:lvl w:ilvl="0" w:tplc="F9E4550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color w:val="22222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6F436B"/>
    <w:multiLevelType w:val="hybridMultilevel"/>
    <w:tmpl w:val="38F0D288"/>
    <w:lvl w:ilvl="0" w:tplc="290051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9D4ABC"/>
    <w:multiLevelType w:val="hybridMultilevel"/>
    <w:tmpl w:val="AF783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A3E96"/>
    <w:multiLevelType w:val="hybridMultilevel"/>
    <w:tmpl w:val="5CDE3EE0"/>
    <w:lvl w:ilvl="0" w:tplc="ED941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56D278E0"/>
    <w:multiLevelType w:val="hybridMultilevel"/>
    <w:tmpl w:val="F66C2144"/>
    <w:lvl w:ilvl="0" w:tplc="290051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79C5365"/>
    <w:multiLevelType w:val="hybridMultilevel"/>
    <w:tmpl w:val="27A43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1A55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3787A"/>
    <w:multiLevelType w:val="singleLevel"/>
    <w:tmpl w:val="69042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C086A59"/>
    <w:multiLevelType w:val="hybridMultilevel"/>
    <w:tmpl w:val="93DE17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D9859BD"/>
    <w:multiLevelType w:val="hybridMultilevel"/>
    <w:tmpl w:val="001A280A"/>
    <w:lvl w:ilvl="0" w:tplc="29005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825C6"/>
    <w:multiLevelType w:val="hybridMultilevel"/>
    <w:tmpl w:val="9F609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32E4C"/>
    <w:multiLevelType w:val="hybridMultilevel"/>
    <w:tmpl w:val="51AA703E"/>
    <w:lvl w:ilvl="0" w:tplc="8576984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3D53473"/>
    <w:multiLevelType w:val="hybridMultilevel"/>
    <w:tmpl w:val="E77C159C"/>
    <w:lvl w:ilvl="0" w:tplc="2C704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61F0587"/>
    <w:multiLevelType w:val="multilevel"/>
    <w:tmpl w:val="ADB814DC"/>
    <w:lvl w:ilvl="0">
      <w:start w:val="5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87E6EED"/>
    <w:multiLevelType w:val="hybridMultilevel"/>
    <w:tmpl w:val="05B8C73A"/>
    <w:lvl w:ilvl="0" w:tplc="A9A010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B52732A"/>
    <w:multiLevelType w:val="hybridMultilevel"/>
    <w:tmpl w:val="AF3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0D82"/>
    <w:multiLevelType w:val="hybridMultilevel"/>
    <w:tmpl w:val="B3BCC7DE"/>
    <w:lvl w:ilvl="0" w:tplc="E6F030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3481F"/>
    <w:multiLevelType w:val="hybridMultilevel"/>
    <w:tmpl w:val="2E4462C0"/>
    <w:lvl w:ilvl="0" w:tplc="89F295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96C76"/>
    <w:multiLevelType w:val="hybridMultilevel"/>
    <w:tmpl w:val="55F05C70"/>
    <w:lvl w:ilvl="0" w:tplc="89F295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33CE4"/>
    <w:multiLevelType w:val="hybridMultilevel"/>
    <w:tmpl w:val="5142D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5"/>
  </w:num>
  <w:num w:numId="4">
    <w:abstractNumId w:val="29"/>
  </w:num>
  <w:num w:numId="5">
    <w:abstractNumId w:val="11"/>
  </w:num>
  <w:num w:numId="6">
    <w:abstractNumId w:val="20"/>
  </w:num>
  <w:num w:numId="7">
    <w:abstractNumId w:val="31"/>
  </w:num>
  <w:num w:numId="8">
    <w:abstractNumId w:val="5"/>
  </w:num>
  <w:num w:numId="9">
    <w:abstractNumId w:val="14"/>
  </w:num>
  <w:num w:numId="10">
    <w:abstractNumId w:val="19"/>
  </w:num>
  <w:num w:numId="11">
    <w:abstractNumId w:val="4"/>
  </w:num>
  <w:num w:numId="12">
    <w:abstractNumId w:val="25"/>
  </w:num>
  <w:num w:numId="13">
    <w:abstractNumId w:val="9"/>
  </w:num>
  <w:num w:numId="14">
    <w:abstractNumId w:val="38"/>
  </w:num>
  <w:num w:numId="15">
    <w:abstractNumId w:val="6"/>
  </w:num>
  <w:num w:numId="16">
    <w:abstractNumId w:val="24"/>
  </w:num>
  <w:num w:numId="17">
    <w:abstractNumId w:val="23"/>
  </w:num>
  <w:num w:numId="18">
    <w:abstractNumId w:val="48"/>
  </w:num>
  <w:num w:numId="19">
    <w:abstractNumId w:val="35"/>
  </w:num>
  <w:num w:numId="20">
    <w:abstractNumId w:val="34"/>
  </w:num>
  <w:num w:numId="21">
    <w:abstractNumId w:val="3"/>
  </w:num>
  <w:num w:numId="22">
    <w:abstractNumId w:val="45"/>
  </w:num>
  <w:num w:numId="23">
    <w:abstractNumId w:val="13"/>
  </w:num>
  <w:num w:numId="24">
    <w:abstractNumId w:val="16"/>
  </w:num>
  <w:num w:numId="25">
    <w:abstractNumId w:val="26"/>
  </w:num>
  <w:num w:numId="26">
    <w:abstractNumId w:val="27"/>
  </w:num>
  <w:num w:numId="27">
    <w:abstractNumId w:val="8"/>
  </w:num>
  <w:num w:numId="28">
    <w:abstractNumId w:val="10"/>
  </w:num>
  <w:num w:numId="29">
    <w:abstractNumId w:val="40"/>
  </w:num>
  <w:num w:numId="30">
    <w:abstractNumId w:val="47"/>
  </w:num>
  <w:num w:numId="31">
    <w:abstractNumId w:val="46"/>
  </w:num>
  <w:num w:numId="32">
    <w:abstractNumId w:val="32"/>
  </w:num>
  <w:num w:numId="33">
    <w:abstractNumId w:val="43"/>
  </w:num>
  <w:num w:numId="34">
    <w:abstractNumId w:val="44"/>
  </w:num>
  <w:num w:numId="35">
    <w:abstractNumId w:val="21"/>
  </w:num>
  <w:num w:numId="36">
    <w:abstractNumId w:val="30"/>
  </w:num>
  <w:num w:numId="37">
    <w:abstractNumId w:val="39"/>
  </w:num>
  <w:num w:numId="38">
    <w:abstractNumId w:val="33"/>
  </w:num>
  <w:num w:numId="39">
    <w:abstractNumId w:val="36"/>
  </w:num>
  <w:num w:numId="40">
    <w:abstractNumId w:val="2"/>
  </w:num>
  <w:num w:numId="41">
    <w:abstractNumId w:val="7"/>
  </w:num>
  <w:num w:numId="42">
    <w:abstractNumId w:val="22"/>
  </w:num>
  <w:num w:numId="43">
    <w:abstractNumId w:val="18"/>
  </w:num>
  <w:num w:numId="44">
    <w:abstractNumId w:val="17"/>
  </w:num>
  <w:num w:numId="45">
    <w:abstractNumId w:val="12"/>
  </w:num>
  <w:num w:numId="46">
    <w:abstractNumId w:val="41"/>
  </w:num>
  <w:num w:numId="47">
    <w:abstractNumId w:val="37"/>
  </w:num>
  <w:num w:numId="48">
    <w:abstractNumId w:val="42"/>
  </w:num>
  <w:num w:numId="49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D7"/>
    <w:rsid w:val="0000009A"/>
    <w:rsid w:val="000001A6"/>
    <w:rsid w:val="00003208"/>
    <w:rsid w:val="00004F27"/>
    <w:rsid w:val="000104DA"/>
    <w:rsid w:val="000118A9"/>
    <w:rsid w:val="00021A03"/>
    <w:rsid w:val="00021B67"/>
    <w:rsid w:val="0002250E"/>
    <w:rsid w:val="00023B31"/>
    <w:rsid w:val="00023DBC"/>
    <w:rsid w:val="00024DA2"/>
    <w:rsid w:val="000254A1"/>
    <w:rsid w:val="0002705C"/>
    <w:rsid w:val="000301DA"/>
    <w:rsid w:val="00030283"/>
    <w:rsid w:val="00033FB3"/>
    <w:rsid w:val="000371D2"/>
    <w:rsid w:val="000378C8"/>
    <w:rsid w:val="00043364"/>
    <w:rsid w:val="00044274"/>
    <w:rsid w:val="00044766"/>
    <w:rsid w:val="0004560C"/>
    <w:rsid w:val="00045916"/>
    <w:rsid w:val="00052B7E"/>
    <w:rsid w:val="00052FCA"/>
    <w:rsid w:val="0005692B"/>
    <w:rsid w:val="00061EF9"/>
    <w:rsid w:val="00063C81"/>
    <w:rsid w:val="000646C2"/>
    <w:rsid w:val="00067DEA"/>
    <w:rsid w:val="0007150F"/>
    <w:rsid w:val="00071907"/>
    <w:rsid w:val="00073882"/>
    <w:rsid w:val="000746C7"/>
    <w:rsid w:val="00077406"/>
    <w:rsid w:val="000829B3"/>
    <w:rsid w:val="000831EB"/>
    <w:rsid w:val="00083B61"/>
    <w:rsid w:val="000858ED"/>
    <w:rsid w:val="000862C6"/>
    <w:rsid w:val="00090709"/>
    <w:rsid w:val="00092DC1"/>
    <w:rsid w:val="0009339C"/>
    <w:rsid w:val="00093E66"/>
    <w:rsid w:val="00094226"/>
    <w:rsid w:val="0009641B"/>
    <w:rsid w:val="000A0CA0"/>
    <w:rsid w:val="000A59C0"/>
    <w:rsid w:val="000B0435"/>
    <w:rsid w:val="000B20A9"/>
    <w:rsid w:val="000B3B61"/>
    <w:rsid w:val="000B77FB"/>
    <w:rsid w:val="000C35A2"/>
    <w:rsid w:val="000C747C"/>
    <w:rsid w:val="000D01D4"/>
    <w:rsid w:val="000D172A"/>
    <w:rsid w:val="000D27C7"/>
    <w:rsid w:val="000D412F"/>
    <w:rsid w:val="000D4426"/>
    <w:rsid w:val="000D47E6"/>
    <w:rsid w:val="000D47F4"/>
    <w:rsid w:val="000D51F2"/>
    <w:rsid w:val="000D587A"/>
    <w:rsid w:val="000D715F"/>
    <w:rsid w:val="000E39DB"/>
    <w:rsid w:val="000E3D27"/>
    <w:rsid w:val="000F129F"/>
    <w:rsid w:val="000F1B41"/>
    <w:rsid w:val="000F5468"/>
    <w:rsid w:val="00102196"/>
    <w:rsid w:val="00107982"/>
    <w:rsid w:val="00112F05"/>
    <w:rsid w:val="00114581"/>
    <w:rsid w:val="00114B74"/>
    <w:rsid w:val="00116CA8"/>
    <w:rsid w:val="00120351"/>
    <w:rsid w:val="001218EB"/>
    <w:rsid w:val="00123453"/>
    <w:rsid w:val="00126013"/>
    <w:rsid w:val="00126597"/>
    <w:rsid w:val="00126A15"/>
    <w:rsid w:val="00127FA3"/>
    <w:rsid w:val="0013233C"/>
    <w:rsid w:val="00133257"/>
    <w:rsid w:val="00134D1B"/>
    <w:rsid w:val="001463BF"/>
    <w:rsid w:val="00147831"/>
    <w:rsid w:val="0015476F"/>
    <w:rsid w:val="001550C7"/>
    <w:rsid w:val="00161177"/>
    <w:rsid w:val="001612D1"/>
    <w:rsid w:val="00161B21"/>
    <w:rsid w:val="00162526"/>
    <w:rsid w:val="00162922"/>
    <w:rsid w:val="00165311"/>
    <w:rsid w:val="00167472"/>
    <w:rsid w:val="00170317"/>
    <w:rsid w:val="00172FCD"/>
    <w:rsid w:val="00173CAC"/>
    <w:rsid w:val="00180115"/>
    <w:rsid w:val="00180C4E"/>
    <w:rsid w:val="00180F68"/>
    <w:rsid w:val="00181538"/>
    <w:rsid w:val="00183EF0"/>
    <w:rsid w:val="00190AD0"/>
    <w:rsid w:val="00192317"/>
    <w:rsid w:val="00192A01"/>
    <w:rsid w:val="00193E72"/>
    <w:rsid w:val="00194346"/>
    <w:rsid w:val="001A2037"/>
    <w:rsid w:val="001A210C"/>
    <w:rsid w:val="001A36C4"/>
    <w:rsid w:val="001A3CCB"/>
    <w:rsid w:val="001B145E"/>
    <w:rsid w:val="001B3A5D"/>
    <w:rsid w:val="001B43C3"/>
    <w:rsid w:val="001B49C3"/>
    <w:rsid w:val="001B6C22"/>
    <w:rsid w:val="001B6EEF"/>
    <w:rsid w:val="001B7430"/>
    <w:rsid w:val="001C071A"/>
    <w:rsid w:val="001C189A"/>
    <w:rsid w:val="001C77D2"/>
    <w:rsid w:val="001E008A"/>
    <w:rsid w:val="001E13F8"/>
    <w:rsid w:val="001E1EF3"/>
    <w:rsid w:val="001E32F2"/>
    <w:rsid w:val="001E46E8"/>
    <w:rsid w:val="001E5991"/>
    <w:rsid w:val="001F5D80"/>
    <w:rsid w:val="001F5EBA"/>
    <w:rsid w:val="00204361"/>
    <w:rsid w:val="0020449D"/>
    <w:rsid w:val="00206E5C"/>
    <w:rsid w:val="00210318"/>
    <w:rsid w:val="00211394"/>
    <w:rsid w:val="00211F0A"/>
    <w:rsid w:val="002129ED"/>
    <w:rsid w:val="002138CC"/>
    <w:rsid w:val="002175BE"/>
    <w:rsid w:val="0022056F"/>
    <w:rsid w:val="00221995"/>
    <w:rsid w:val="002313D1"/>
    <w:rsid w:val="00231A90"/>
    <w:rsid w:val="002328C3"/>
    <w:rsid w:val="00234EB7"/>
    <w:rsid w:val="002357B7"/>
    <w:rsid w:val="00237EFD"/>
    <w:rsid w:val="00244243"/>
    <w:rsid w:val="00252CD0"/>
    <w:rsid w:val="00252F90"/>
    <w:rsid w:val="0026501B"/>
    <w:rsid w:val="00265330"/>
    <w:rsid w:val="002656DD"/>
    <w:rsid w:val="002658F9"/>
    <w:rsid w:val="00265A6F"/>
    <w:rsid w:val="00267A4E"/>
    <w:rsid w:val="00267D3F"/>
    <w:rsid w:val="0027252C"/>
    <w:rsid w:val="002736C8"/>
    <w:rsid w:val="002740DF"/>
    <w:rsid w:val="00274567"/>
    <w:rsid w:val="00276D82"/>
    <w:rsid w:val="002778F3"/>
    <w:rsid w:val="002831AD"/>
    <w:rsid w:val="00286E05"/>
    <w:rsid w:val="00290C37"/>
    <w:rsid w:val="002940CC"/>
    <w:rsid w:val="00295CB1"/>
    <w:rsid w:val="002974B9"/>
    <w:rsid w:val="00297B09"/>
    <w:rsid w:val="002B05D8"/>
    <w:rsid w:val="002B0972"/>
    <w:rsid w:val="002B1270"/>
    <w:rsid w:val="002B6881"/>
    <w:rsid w:val="002C1EAF"/>
    <w:rsid w:val="002C6385"/>
    <w:rsid w:val="002C6608"/>
    <w:rsid w:val="002C6F8C"/>
    <w:rsid w:val="002C71EE"/>
    <w:rsid w:val="002D1BD4"/>
    <w:rsid w:val="002D42EC"/>
    <w:rsid w:val="002E4377"/>
    <w:rsid w:val="002F474C"/>
    <w:rsid w:val="002F6971"/>
    <w:rsid w:val="002F6A67"/>
    <w:rsid w:val="002F6CEA"/>
    <w:rsid w:val="002F703E"/>
    <w:rsid w:val="003057BB"/>
    <w:rsid w:val="00305FB9"/>
    <w:rsid w:val="00317BAF"/>
    <w:rsid w:val="00320544"/>
    <w:rsid w:val="00321C57"/>
    <w:rsid w:val="00325176"/>
    <w:rsid w:val="00326C3C"/>
    <w:rsid w:val="0033094D"/>
    <w:rsid w:val="00331A62"/>
    <w:rsid w:val="0033245F"/>
    <w:rsid w:val="00336E86"/>
    <w:rsid w:val="00336F5B"/>
    <w:rsid w:val="00337592"/>
    <w:rsid w:val="003376BF"/>
    <w:rsid w:val="0034497B"/>
    <w:rsid w:val="00345EF3"/>
    <w:rsid w:val="003504A2"/>
    <w:rsid w:val="00351C26"/>
    <w:rsid w:val="003553F1"/>
    <w:rsid w:val="00356E67"/>
    <w:rsid w:val="00362C2B"/>
    <w:rsid w:val="003675F1"/>
    <w:rsid w:val="0036771A"/>
    <w:rsid w:val="00371374"/>
    <w:rsid w:val="00372CF6"/>
    <w:rsid w:val="00375507"/>
    <w:rsid w:val="003772A8"/>
    <w:rsid w:val="0037741F"/>
    <w:rsid w:val="00380700"/>
    <w:rsid w:val="00381236"/>
    <w:rsid w:val="003817BF"/>
    <w:rsid w:val="00384254"/>
    <w:rsid w:val="003856B3"/>
    <w:rsid w:val="00387188"/>
    <w:rsid w:val="00387D33"/>
    <w:rsid w:val="003901F2"/>
    <w:rsid w:val="00392CC2"/>
    <w:rsid w:val="00393580"/>
    <w:rsid w:val="00395927"/>
    <w:rsid w:val="00395EA6"/>
    <w:rsid w:val="00397F37"/>
    <w:rsid w:val="003A0B08"/>
    <w:rsid w:val="003A6AAE"/>
    <w:rsid w:val="003B0A69"/>
    <w:rsid w:val="003B5792"/>
    <w:rsid w:val="003C09B4"/>
    <w:rsid w:val="003C6D29"/>
    <w:rsid w:val="003C7D43"/>
    <w:rsid w:val="003D0A18"/>
    <w:rsid w:val="003D50BB"/>
    <w:rsid w:val="003D569B"/>
    <w:rsid w:val="003D64F3"/>
    <w:rsid w:val="003E4667"/>
    <w:rsid w:val="003E5695"/>
    <w:rsid w:val="003E66DE"/>
    <w:rsid w:val="003F3F9D"/>
    <w:rsid w:val="00404168"/>
    <w:rsid w:val="00412A9D"/>
    <w:rsid w:val="004142AC"/>
    <w:rsid w:val="00416268"/>
    <w:rsid w:val="00433A8A"/>
    <w:rsid w:val="00435B19"/>
    <w:rsid w:val="00435C7D"/>
    <w:rsid w:val="00443026"/>
    <w:rsid w:val="00443C1B"/>
    <w:rsid w:val="00445301"/>
    <w:rsid w:val="004467DD"/>
    <w:rsid w:val="004509A8"/>
    <w:rsid w:val="00455818"/>
    <w:rsid w:val="00464B90"/>
    <w:rsid w:val="00464FBA"/>
    <w:rsid w:val="00465588"/>
    <w:rsid w:val="00466B1E"/>
    <w:rsid w:val="00473EE1"/>
    <w:rsid w:val="00475A45"/>
    <w:rsid w:val="00475ECA"/>
    <w:rsid w:val="00480CE6"/>
    <w:rsid w:val="004815A3"/>
    <w:rsid w:val="00483417"/>
    <w:rsid w:val="0048458C"/>
    <w:rsid w:val="00486B94"/>
    <w:rsid w:val="004875F2"/>
    <w:rsid w:val="00487F49"/>
    <w:rsid w:val="00490FE1"/>
    <w:rsid w:val="00491252"/>
    <w:rsid w:val="00492242"/>
    <w:rsid w:val="00493588"/>
    <w:rsid w:val="004936D7"/>
    <w:rsid w:val="0049417F"/>
    <w:rsid w:val="004A0444"/>
    <w:rsid w:val="004A2AAE"/>
    <w:rsid w:val="004A615F"/>
    <w:rsid w:val="004B1449"/>
    <w:rsid w:val="004B41CD"/>
    <w:rsid w:val="004B7E04"/>
    <w:rsid w:val="004C09B8"/>
    <w:rsid w:val="004C0CE5"/>
    <w:rsid w:val="004C104A"/>
    <w:rsid w:val="004C194D"/>
    <w:rsid w:val="004C3C86"/>
    <w:rsid w:val="004C641B"/>
    <w:rsid w:val="004D03A2"/>
    <w:rsid w:val="004D080A"/>
    <w:rsid w:val="004D587A"/>
    <w:rsid w:val="004D5FCF"/>
    <w:rsid w:val="004D7999"/>
    <w:rsid w:val="004E05A2"/>
    <w:rsid w:val="004E08E2"/>
    <w:rsid w:val="004E3E94"/>
    <w:rsid w:val="004E42A8"/>
    <w:rsid w:val="004E6923"/>
    <w:rsid w:val="004E6F9F"/>
    <w:rsid w:val="004F049E"/>
    <w:rsid w:val="004F1B96"/>
    <w:rsid w:val="004F1D3E"/>
    <w:rsid w:val="004F5329"/>
    <w:rsid w:val="004F79C8"/>
    <w:rsid w:val="005011AC"/>
    <w:rsid w:val="00501E22"/>
    <w:rsid w:val="005035C4"/>
    <w:rsid w:val="0050657A"/>
    <w:rsid w:val="00512E68"/>
    <w:rsid w:val="005141C1"/>
    <w:rsid w:val="0051716D"/>
    <w:rsid w:val="00517288"/>
    <w:rsid w:val="0052056B"/>
    <w:rsid w:val="00520E17"/>
    <w:rsid w:val="0052418D"/>
    <w:rsid w:val="00530484"/>
    <w:rsid w:val="005338D1"/>
    <w:rsid w:val="00540477"/>
    <w:rsid w:val="005409D0"/>
    <w:rsid w:val="00546FD0"/>
    <w:rsid w:val="00547A09"/>
    <w:rsid w:val="00554F22"/>
    <w:rsid w:val="005550A3"/>
    <w:rsid w:val="00556043"/>
    <w:rsid w:val="00556CAD"/>
    <w:rsid w:val="005571C7"/>
    <w:rsid w:val="00557B02"/>
    <w:rsid w:val="005641DF"/>
    <w:rsid w:val="005700C5"/>
    <w:rsid w:val="00580232"/>
    <w:rsid w:val="00582163"/>
    <w:rsid w:val="005935F0"/>
    <w:rsid w:val="005A0006"/>
    <w:rsid w:val="005A078A"/>
    <w:rsid w:val="005A0BC8"/>
    <w:rsid w:val="005A7B60"/>
    <w:rsid w:val="005B0162"/>
    <w:rsid w:val="005B01D0"/>
    <w:rsid w:val="005C001B"/>
    <w:rsid w:val="005C0DA6"/>
    <w:rsid w:val="005C4E37"/>
    <w:rsid w:val="005C5E97"/>
    <w:rsid w:val="005C60D7"/>
    <w:rsid w:val="005C7081"/>
    <w:rsid w:val="005D0018"/>
    <w:rsid w:val="005D5A87"/>
    <w:rsid w:val="005D63DA"/>
    <w:rsid w:val="005E2660"/>
    <w:rsid w:val="005E335A"/>
    <w:rsid w:val="005E3F99"/>
    <w:rsid w:val="005E61B1"/>
    <w:rsid w:val="005F0020"/>
    <w:rsid w:val="005F077B"/>
    <w:rsid w:val="005F7D80"/>
    <w:rsid w:val="00600674"/>
    <w:rsid w:val="00603D32"/>
    <w:rsid w:val="00607618"/>
    <w:rsid w:val="00613011"/>
    <w:rsid w:val="0061349B"/>
    <w:rsid w:val="00613D77"/>
    <w:rsid w:val="00615F33"/>
    <w:rsid w:val="00616710"/>
    <w:rsid w:val="006222E6"/>
    <w:rsid w:val="00627E68"/>
    <w:rsid w:val="00631594"/>
    <w:rsid w:val="00640159"/>
    <w:rsid w:val="0064090D"/>
    <w:rsid w:val="006422F5"/>
    <w:rsid w:val="006443A5"/>
    <w:rsid w:val="00645A19"/>
    <w:rsid w:val="0065071A"/>
    <w:rsid w:val="00652B44"/>
    <w:rsid w:val="00654396"/>
    <w:rsid w:val="0065586E"/>
    <w:rsid w:val="00657CD7"/>
    <w:rsid w:val="006605F1"/>
    <w:rsid w:val="0066164E"/>
    <w:rsid w:val="00666FE8"/>
    <w:rsid w:val="00671C96"/>
    <w:rsid w:val="006775DD"/>
    <w:rsid w:val="00677E76"/>
    <w:rsid w:val="00683FA9"/>
    <w:rsid w:val="00687EB1"/>
    <w:rsid w:val="0069148C"/>
    <w:rsid w:val="006955CD"/>
    <w:rsid w:val="006A2B41"/>
    <w:rsid w:val="006A4695"/>
    <w:rsid w:val="006A4FC6"/>
    <w:rsid w:val="006A646C"/>
    <w:rsid w:val="006A74EF"/>
    <w:rsid w:val="006B252E"/>
    <w:rsid w:val="006B3919"/>
    <w:rsid w:val="006B46C9"/>
    <w:rsid w:val="006B4D88"/>
    <w:rsid w:val="006B6178"/>
    <w:rsid w:val="006B72AC"/>
    <w:rsid w:val="006C2192"/>
    <w:rsid w:val="006C4FB2"/>
    <w:rsid w:val="006C77C9"/>
    <w:rsid w:val="006D0298"/>
    <w:rsid w:val="006D02B8"/>
    <w:rsid w:val="006D22C3"/>
    <w:rsid w:val="006D2673"/>
    <w:rsid w:val="006D2AC6"/>
    <w:rsid w:val="006D38A2"/>
    <w:rsid w:val="006D4B97"/>
    <w:rsid w:val="006D512E"/>
    <w:rsid w:val="006D6ED7"/>
    <w:rsid w:val="006E2A24"/>
    <w:rsid w:val="006E309A"/>
    <w:rsid w:val="006E5D4A"/>
    <w:rsid w:val="006E6183"/>
    <w:rsid w:val="006E645F"/>
    <w:rsid w:val="006E7CFE"/>
    <w:rsid w:val="006F3949"/>
    <w:rsid w:val="006F5FD5"/>
    <w:rsid w:val="006F773E"/>
    <w:rsid w:val="00702760"/>
    <w:rsid w:val="00702A64"/>
    <w:rsid w:val="00702C35"/>
    <w:rsid w:val="00702E71"/>
    <w:rsid w:val="00703064"/>
    <w:rsid w:val="00704F61"/>
    <w:rsid w:val="0070643A"/>
    <w:rsid w:val="00707916"/>
    <w:rsid w:val="0072036E"/>
    <w:rsid w:val="00720AF4"/>
    <w:rsid w:val="007234C9"/>
    <w:rsid w:val="007237DE"/>
    <w:rsid w:val="007264B3"/>
    <w:rsid w:val="0072773B"/>
    <w:rsid w:val="007303BD"/>
    <w:rsid w:val="00735CD8"/>
    <w:rsid w:val="00735D4F"/>
    <w:rsid w:val="0073656B"/>
    <w:rsid w:val="0073774E"/>
    <w:rsid w:val="0074376E"/>
    <w:rsid w:val="00752367"/>
    <w:rsid w:val="00752605"/>
    <w:rsid w:val="0075616A"/>
    <w:rsid w:val="007626BD"/>
    <w:rsid w:val="007626E5"/>
    <w:rsid w:val="00762984"/>
    <w:rsid w:val="007632B1"/>
    <w:rsid w:val="007645B5"/>
    <w:rsid w:val="007671BC"/>
    <w:rsid w:val="00767492"/>
    <w:rsid w:val="007719E0"/>
    <w:rsid w:val="0077224F"/>
    <w:rsid w:val="00772A77"/>
    <w:rsid w:val="00775CB8"/>
    <w:rsid w:val="00780B1C"/>
    <w:rsid w:val="00780D90"/>
    <w:rsid w:val="007820E5"/>
    <w:rsid w:val="00782774"/>
    <w:rsid w:val="0078364D"/>
    <w:rsid w:val="00787FEC"/>
    <w:rsid w:val="00791381"/>
    <w:rsid w:val="007919BA"/>
    <w:rsid w:val="00797D3B"/>
    <w:rsid w:val="007A13A7"/>
    <w:rsid w:val="007A258E"/>
    <w:rsid w:val="007B0B6A"/>
    <w:rsid w:val="007B10ED"/>
    <w:rsid w:val="007B1BD7"/>
    <w:rsid w:val="007B2926"/>
    <w:rsid w:val="007B6DB5"/>
    <w:rsid w:val="007C0B9B"/>
    <w:rsid w:val="007C3D80"/>
    <w:rsid w:val="007C7749"/>
    <w:rsid w:val="007D4218"/>
    <w:rsid w:val="007D47B2"/>
    <w:rsid w:val="007D5E9C"/>
    <w:rsid w:val="007D6119"/>
    <w:rsid w:val="007D6ACE"/>
    <w:rsid w:val="007E043F"/>
    <w:rsid w:val="007E1BA3"/>
    <w:rsid w:val="007E2109"/>
    <w:rsid w:val="007E23B8"/>
    <w:rsid w:val="007E3A47"/>
    <w:rsid w:val="007E6EA1"/>
    <w:rsid w:val="007F555A"/>
    <w:rsid w:val="007F772A"/>
    <w:rsid w:val="008020B2"/>
    <w:rsid w:val="008024E6"/>
    <w:rsid w:val="008064AC"/>
    <w:rsid w:val="00806B2A"/>
    <w:rsid w:val="00807364"/>
    <w:rsid w:val="00807A94"/>
    <w:rsid w:val="00807BEC"/>
    <w:rsid w:val="00807EE1"/>
    <w:rsid w:val="008103DB"/>
    <w:rsid w:val="008130E7"/>
    <w:rsid w:val="00821435"/>
    <w:rsid w:val="00821A81"/>
    <w:rsid w:val="00823C8F"/>
    <w:rsid w:val="00826796"/>
    <w:rsid w:val="008300E2"/>
    <w:rsid w:val="00830649"/>
    <w:rsid w:val="008313A5"/>
    <w:rsid w:val="008317F6"/>
    <w:rsid w:val="00835775"/>
    <w:rsid w:val="008362B7"/>
    <w:rsid w:val="008372C5"/>
    <w:rsid w:val="00840CB8"/>
    <w:rsid w:val="008442E5"/>
    <w:rsid w:val="00846CE0"/>
    <w:rsid w:val="00851984"/>
    <w:rsid w:val="00855867"/>
    <w:rsid w:val="00860418"/>
    <w:rsid w:val="00862E03"/>
    <w:rsid w:val="00863E10"/>
    <w:rsid w:val="0087062D"/>
    <w:rsid w:val="00872A88"/>
    <w:rsid w:val="00872C55"/>
    <w:rsid w:val="00873051"/>
    <w:rsid w:val="0087425D"/>
    <w:rsid w:val="008757F0"/>
    <w:rsid w:val="00876381"/>
    <w:rsid w:val="00880B89"/>
    <w:rsid w:val="0088167E"/>
    <w:rsid w:val="0088629B"/>
    <w:rsid w:val="008877EA"/>
    <w:rsid w:val="0089028C"/>
    <w:rsid w:val="00891038"/>
    <w:rsid w:val="00891282"/>
    <w:rsid w:val="008937EF"/>
    <w:rsid w:val="00896C95"/>
    <w:rsid w:val="008A074E"/>
    <w:rsid w:val="008A4C04"/>
    <w:rsid w:val="008A4CEB"/>
    <w:rsid w:val="008A578B"/>
    <w:rsid w:val="008B265A"/>
    <w:rsid w:val="008B2BDA"/>
    <w:rsid w:val="008B3F2F"/>
    <w:rsid w:val="008B599A"/>
    <w:rsid w:val="008D109F"/>
    <w:rsid w:val="008D4C92"/>
    <w:rsid w:val="008D6CFA"/>
    <w:rsid w:val="008D749A"/>
    <w:rsid w:val="008E0043"/>
    <w:rsid w:val="008E401B"/>
    <w:rsid w:val="008E6A66"/>
    <w:rsid w:val="008F1F7D"/>
    <w:rsid w:val="008F3007"/>
    <w:rsid w:val="008F494E"/>
    <w:rsid w:val="008F5171"/>
    <w:rsid w:val="008F6118"/>
    <w:rsid w:val="008F61A5"/>
    <w:rsid w:val="0090103F"/>
    <w:rsid w:val="009030A0"/>
    <w:rsid w:val="0090502A"/>
    <w:rsid w:val="009054EC"/>
    <w:rsid w:val="00905FC2"/>
    <w:rsid w:val="00910780"/>
    <w:rsid w:val="00910B25"/>
    <w:rsid w:val="00912D26"/>
    <w:rsid w:val="00915605"/>
    <w:rsid w:val="009166FC"/>
    <w:rsid w:val="00924C0A"/>
    <w:rsid w:val="00933B58"/>
    <w:rsid w:val="009348B9"/>
    <w:rsid w:val="00935411"/>
    <w:rsid w:val="00935A87"/>
    <w:rsid w:val="00945837"/>
    <w:rsid w:val="009458D1"/>
    <w:rsid w:val="00945BBA"/>
    <w:rsid w:val="009512D7"/>
    <w:rsid w:val="00951B53"/>
    <w:rsid w:val="0095289F"/>
    <w:rsid w:val="00954594"/>
    <w:rsid w:val="009554F3"/>
    <w:rsid w:val="00960768"/>
    <w:rsid w:val="0096235A"/>
    <w:rsid w:val="009658F3"/>
    <w:rsid w:val="00971257"/>
    <w:rsid w:val="009715C7"/>
    <w:rsid w:val="00975EA9"/>
    <w:rsid w:val="00977162"/>
    <w:rsid w:val="009811E3"/>
    <w:rsid w:val="009817BE"/>
    <w:rsid w:val="0098580F"/>
    <w:rsid w:val="00985B59"/>
    <w:rsid w:val="00986160"/>
    <w:rsid w:val="009900BB"/>
    <w:rsid w:val="00993F02"/>
    <w:rsid w:val="00995E33"/>
    <w:rsid w:val="0099614F"/>
    <w:rsid w:val="009970D2"/>
    <w:rsid w:val="009A1355"/>
    <w:rsid w:val="009A2167"/>
    <w:rsid w:val="009A3287"/>
    <w:rsid w:val="009A3BD2"/>
    <w:rsid w:val="009A7054"/>
    <w:rsid w:val="009B0322"/>
    <w:rsid w:val="009B1A82"/>
    <w:rsid w:val="009B1C1D"/>
    <w:rsid w:val="009B37FC"/>
    <w:rsid w:val="009B5D8B"/>
    <w:rsid w:val="009C0637"/>
    <w:rsid w:val="009C32D2"/>
    <w:rsid w:val="009C43F1"/>
    <w:rsid w:val="009D0551"/>
    <w:rsid w:val="009D249C"/>
    <w:rsid w:val="009D5B57"/>
    <w:rsid w:val="009E211E"/>
    <w:rsid w:val="009E2413"/>
    <w:rsid w:val="009F0A91"/>
    <w:rsid w:val="009F261E"/>
    <w:rsid w:val="009F5E03"/>
    <w:rsid w:val="009F7F47"/>
    <w:rsid w:val="00A0283A"/>
    <w:rsid w:val="00A04315"/>
    <w:rsid w:val="00A06099"/>
    <w:rsid w:val="00A07A63"/>
    <w:rsid w:val="00A115DC"/>
    <w:rsid w:val="00A135FC"/>
    <w:rsid w:val="00A13848"/>
    <w:rsid w:val="00A139EE"/>
    <w:rsid w:val="00A1419D"/>
    <w:rsid w:val="00A17A63"/>
    <w:rsid w:val="00A27935"/>
    <w:rsid w:val="00A302C9"/>
    <w:rsid w:val="00A30B19"/>
    <w:rsid w:val="00A31450"/>
    <w:rsid w:val="00A335D1"/>
    <w:rsid w:val="00A342BC"/>
    <w:rsid w:val="00A3541A"/>
    <w:rsid w:val="00A35769"/>
    <w:rsid w:val="00A35FBA"/>
    <w:rsid w:val="00A374FB"/>
    <w:rsid w:val="00A403A4"/>
    <w:rsid w:val="00A420DE"/>
    <w:rsid w:val="00A4355A"/>
    <w:rsid w:val="00A54761"/>
    <w:rsid w:val="00A5691C"/>
    <w:rsid w:val="00A5760F"/>
    <w:rsid w:val="00A57EF3"/>
    <w:rsid w:val="00A65CCF"/>
    <w:rsid w:val="00A662C5"/>
    <w:rsid w:val="00A66A0D"/>
    <w:rsid w:val="00A72052"/>
    <w:rsid w:val="00A73E4F"/>
    <w:rsid w:val="00A844A6"/>
    <w:rsid w:val="00A86377"/>
    <w:rsid w:val="00A91FA2"/>
    <w:rsid w:val="00A93D5C"/>
    <w:rsid w:val="00AA0447"/>
    <w:rsid w:val="00AA0EF1"/>
    <w:rsid w:val="00AA5DA2"/>
    <w:rsid w:val="00AA6BFC"/>
    <w:rsid w:val="00AA76E2"/>
    <w:rsid w:val="00AB1BCE"/>
    <w:rsid w:val="00AB3F3F"/>
    <w:rsid w:val="00AC2706"/>
    <w:rsid w:val="00AC5A19"/>
    <w:rsid w:val="00AC623D"/>
    <w:rsid w:val="00AC6853"/>
    <w:rsid w:val="00AD3CE8"/>
    <w:rsid w:val="00AD5446"/>
    <w:rsid w:val="00AD76CC"/>
    <w:rsid w:val="00AD785A"/>
    <w:rsid w:val="00AE06B9"/>
    <w:rsid w:val="00AE24A0"/>
    <w:rsid w:val="00AE58B0"/>
    <w:rsid w:val="00AF0A68"/>
    <w:rsid w:val="00AF1686"/>
    <w:rsid w:val="00AF1DD9"/>
    <w:rsid w:val="00AF20AE"/>
    <w:rsid w:val="00AF377B"/>
    <w:rsid w:val="00AF4DDD"/>
    <w:rsid w:val="00AF505F"/>
    <w:rsid w:val="00AF7D41"/>
    <w:rsid w:val="00B00505"/>
    <w:rsid w:val="00B07465"/>
    <w:rsid w:val="00B1042C"/>
    <w:rsid w:val="00B112FD"/>
    <w:rsid w:val="00B11D78"/>
    <w:rsid w:val="00B13EA6"/>
    <w:rsid w:val="00B1560C"/>
    <w:rsid w:val="00B20C39"/>
    <w:rsid w:val="00B21B26"/>
    <w:rsid w:val="00B2534C"/>
    <w:rsid w:val="00B2678A"/>
    <w:rsid w:val="00B272CA"/>
    <w:rsid w:val="00B27681"/>
    <w:rsid w:val="00B32E6E"/>
    <w:rsid w:val="00B34676"/>
    <w:rsid w:val="00B36827"/>
    <w:rsid w:val="00B37825"/>
    <w:rsid w:val="00B40261"/>
    <w:rsid w:val="00B43D31"/>
    <w:rsid w:val="00B53969"/>
    <w:rsid w:val="00B55252"/>
    <w:rsid w:val="00B5775C"/>
    <w:rsid w:val="00B66F41"/>
    <w:rsid w:val="00B72268"/>
    <w:rsid w:val="00B72407"/>
    <w:rsid w:val="00B752C5"/>
    <w:rsid w:val="00B807AC"/>
    <w:rsid w:val="00B81F73"/>
    <w:rsid w:val="00B83DFB"/>
    <w:rsid w:val="00B8680A"/>
    <w:rsid w:val="00B92DE5"/>
    <w:rsid w:val="00B940BC"/>
    <w:rsid w:val="00B94F1A"/>
    <w:rsid w:val="00B95ED1"/>
    <w:rsid w:val="00B97412"/>
    <w:rsid w:val="00B97507"/>
    <w:rsid w:val="00B97AF6"/>
    <w:rsid w:val="00BA03CE"/>
    <w:rsid w:val="00BA0BAD"/>
    <w:rsid w:val="00BA67D0"/>
    <w:rsid w:val="00BB02D2"/>
    <w:rsid w:val="00BB19B9"/>
    <w:rsid w:val="00BB1C5A"/>
    <w:rsid w:val="00BC00E0"/>
    <w:rsid w:val="00BC01DB"/>
    <w:rsid w:val="00BC296A"/>
    <w:rsid w:val="00BC3DCB"/>
    <w:rsid w:val="00BC6807"/>
    <w:rsid w:val="00BD0B66"/>
    <w:rsid w:val="00BD1B56"/>
    <w:rsid w:val="00BD3049"/>
    <w:rsid w:val="00BD37E5"/>
    <w:rsid w:val="00BD7626"/>
    <w:rsid w:val="00BE28C4"/>
    <w:rsid w:val="00BF533F"/>
    <w:rsid w:val="00C02C30"/>
    <w:rsid w:val="00C02DC0"/>
    <w:rsid w:val="00C069FC"/>
    <w:rsid w:val="00C117E5"/>
    <w:rsid w:val="00C17DC2"/>
    <w:rsid w:val="00C205C6"/>
    <w:rsid w:val="00C22147"/>
    <w:rsid w:val="00C22CD8"/>
    <w:rsid w:val="00C24FCB"/>
    <w:rsid w:val="00C25187"/>
    <w:rsid w:val="00C2663D"/>
    <w:rsid w:val="00C33E59"/>
    <w:rsid w:val="00C34E7E"/>
    <w:rsid w:val="00C403E0"/>
    <w:rsid w:val="00C44DE6"/>
    <w:rsid w:val="00C50A44"/>
    <w:rsid w:val="00C5170A"/>
    <w:rsid w:val="00C51F07"/>
    <w:rsid w:val="00C53A10"/>
    <w:rsid w:val="00C54E6D"/>
    <w:rsid w:val="00C55DB7"/>
    <w:rsid w:val="00C56AD6"/>
    <w:rsid w:val="00C57AFC"/>
    <w:rsid w:val="00C57C34"/>
    <w:rsid w:val="00C63293"/>
    <w:rsid w:val="00C65E87"/>
    <w:rsid w:val="00C744B0"/>
    <w:rsid w:val="00C7533C"/>
    <w:rsid w:val="00C7594E"/>
    <w:rsid w:val="00C84C51"/>
    <w:rsid w:val="00C85B08"/>
    <w:rsid w:val="00C91EAC"/>
    <w:rsid w:val="00C92BDD"/>
    <w:rsid w:val="00C94F37"/>
    <w:rsid w:val="00C958E6"/>
    <w:rsid w:val="00CA6C9C"/>
    <w:rsid w:val="00CA73F9"/>
    <w:rsid w:val="00CA759C"/>
    <w:rsid w:val="00CB1D8B"/>
    <w:rsid w:val="00CB6B2F"/>
    <w:rsid w:val="00CC1B35"/>
    <w:rsid w:val="00CC2683"/>
    <w:rsid w:val="00CC3CF3"/>
    <w:rsid w:val="00CC6E14"/>
    <w:rsid w:val="00CC7874"/>
    <w:rsid w:val="00CC7956"/>
    <w:rsid w:val="00CC7FFB"/>
    <w:rsid w:val="00CD165B"/>
    <w:rsid w:val="00CD2045"/>
    <w:rsid w:val="00CD45C4"/>
    <w:rsid w:val="00CE2BB9"/>
    <w:rsid w:val="00CE42C5"/>
    <w:rsid w:val="00CE4B32"/>
    <w:rsid w:val="00CE7EE5"/>
    <w:rsid w:val="00CF2A1E"/>
    <w:rsid w:val="00CF41CC"/>
    <w:rsid w:val="00CF4FDA"/>
    <w:rsid w:val="00CF53F9"/>
    <w:rsid w:val="00CF62AB"/>
    <w:rsid w:val="00CF7BCF"/>
    <w:rsid w:val="00D04231"/>
    <w:rsid w:val="00D13CCE"/>
    <w:rsid w:val="00D160DA"/>
    <w:rsid w:val="00D166F9"/>
    <w:rsid w:val="00D17B52"/>
    <w:rsid w:val="00D20378"/>
    <w:rsid w:val="00D20C2A"/>
    <w:rsid w:val="00D21295"/>
    <w:rsid w:val="00D22D3B"/>
    <w:rsid w:val="00D31652"/>
    <w:rsid w:val="00D32049"/>
    <w:rsid w:val="00D32115"/>
    <w:rsid w:val="00D3223B"/>
    <w:rsid w:val="00D33548"/>
    <w:rsid w:val="00D353A7"/>
    <w:rsid w:val="00D36443"/>
    <w:rsid w:val="00D41B39"/>
    <w:rsid w:val="00D45951"/>
    <w:rsid w:val="00D4685A"/>
    <w:rsid w:val="00D4718B"/>
    <w:rsid w:val="00D52743"/>
    <w:rsid w:val="00D53727"/>
    <w:rsid w:val="00D57CD3"/>
    <w:rsid w:val="00D61490"/>
    <w:rsid w:val="00D6254E"/>
    <w:rsid w:val="00D67850"/>
    <w:rsid w:val="00D704AB"/>
    <w:rsid w:val="00D73192"/>
    <w:rsid w:val="00D73557"/>
    <w:rsid w:val="00D763A3"/>
    <w:rsid w:val="00D768FF"/>
    <w:rsid w:val="00D803B7"/>
    <w:rsid w:val="00D842BE"/>
    <w:rsid w:val="00D8678C"/>
    <w:rsid w:val="00D96A55"/>
    <w:rsid w:val="00DA0DD0"/>
    <w:rsid w:val="00DA1560"/>
    <w:rsid w:val="00DB4119"/>
    <w:rsid w:val="00DB4671"/>
    <w:rsid w:val="00DB7603"/>
    <w:rsid w:val="00DC07AF"/>
    <w:rsid w:val="00DC0A07"/>
    <w:rsid w:val="00DC166D"/>
    <w:rsid w:val="00DC2779"/>
    <w:rsid w:val="00DC293D"/>
    <w:rsid w:val="00DC5970"/>
    <w:rsid w:val="00DC65DE"/>
    <w:rsid w:val="00DC676D"/>
    <w:rsid w:val="00DD4E57"/>
    <w:rsid w:val="00DE0E7B"/>
    <w:rsid w:val="00DE2F7B"/>
    <w:rsid w:val="00DE5480"/>
    <w:rsid w:val="00DE5ED6"/>
    <w:rsid w:val="00DF1552"/>
    <w:rsid w:val="00DF702F"/>
    <w:rsid w:val="00DF7A19"/>
    <w:rsid w:val="00DF7D60"/>
    <w:rsid w:val="00E01C40"/>
    <w:rsid w:val="00E026BC"/>
    <w:rsid w:val="00E031E6"/>
    <w:rsid w:val="00E04D39"/>
    <w:rsid w:val="00E04DC8"/>
    <w:rsid w:val="00E050A2"/>
    <w:rsid w:val="00E136B0"/>
    <w:rsid w:val="00E156CB"/>
    <w:rsid w:val="00E15C45"/>
    <w:rsid w:val="00E15F33"/>
    <w:rsid w:val="00E22923"/>
    <w:rsid w:val="00E2428D"/>
    <w:rsid w:val="00E2516A"/>
    <w:rsid w:val="00E2764B"/>
    <w:rsid w:val="00E27B1D"/>
    <w:rsid w:val="00E304FC"/>
    <w:rsid w:val="00E32546"/>
    <w:rsid w:val="00E32D5F"/>
    <w:rsid w:val="00E33EA9"/>
    <w:rsid w:val="00E34667"/>
    <w:rsid w:val="00E35ACB"/>
    <w:rsid w:val="00E36FDA"/>
    <w:rsid w:val="00E407A1"/>
    <w:rsid w:val="00E42366"/>
    <w:rsid w:val="00E42470"/>
    <w:rsid w:val="00E42806"/>
    <w:rsid w:val="00E43090"/>
    <w:rsid w:val="00E44126"/>
    <w:rsid w:val="00E53C56"/>
    <w:rsid w:val="00E613B3"/>
    <w:rsid w:val="00E669DB"/>
    <w:rsid w:val="00E70DC4"/>
    <w:rsid w:val="00E71728"/>
    <w:rsid w:val="00E75AED"/>
    <w:rsid w:val="00E813BD"/>
    <w:rsid w:val="00E8274F"/>
    <w:rsid w:val="00E82C84"/>
    <w:rsid w:val="00E85B63"/>
    <w:rsid w:val="00E868A7"/>
    <w:rsid w:val="00E879ED"/>
    <w:rsid w:val="00E91023"/>
    <w:rsid w:val="00E92749"/>
    <w:rsid w:val="00E92886"/>
    <w:rsid w:val="00E93E81"/>
    <w:rsid w:val="00EA15EA"/>
    <w:rsid w:val="00EA39E6"/>
    <w:rsid w:val="00EA583A"/>
    <w:rsid w:val="00EB24BE"/>
    <w:rsid w:val="00EB33D2"/>
    <w:rsid w:val="00EB7495"/>
    <w:rsid w:val="00EC29D8"/>
    <w:rsid w:val="00EC647F"/>
    <w:rsid w:val="00EC68A8"/>
    <w:rsid w:val="00EC7370"/>
    <w:rsid w:val="00EC7DD9"/>
    <w:rsid w:val="00ED00A1"/>
    <w:rsid w:val="00ED083E"/>
    <w:rsid w:val="00ED0C23"/>
    <w:rsid w:val="00ED2170"/>
    <w:rsid w:val="00ED37B7"/>
    <w:rsid w:val="00ED6AD0"/>
    <w:rsid w:val="00ED7AAA"/>
    <w:rsid w:val="00EE310E"/>
    <w:rsid w:val="00EE41C5"/>
    <w:rsid w:val="00EE4B13"/>
    <w:rsid w:val="00EE735E"/>
    <w:rsid w:val="00EE7712"/>
    <w:rsid w:val="00EF0842"/>
    <w:rsid w:val="00EF1010"/>
    <w:rsid w:val="00EF1090"/>
    <w:rsid w:val="00EF2A96"/>
    <w:rsid w:val="00EF47FE"/>
    <w:rsid w:val="00EF4800"/>
    <w:rsid w:val="00EF4A85"/>
    <w:rsid w:val="00EF4DA5"/>
    <w:rsid w:val="00EF6385"/>
    <w:rsid w:val="00EF725F"/>
    <w:rsid w:val="00F0206E"/>
    <w:rsid w:val="00F03F04"/>
    <w:rsid w:val="00F064F5"/>
    <w:rsid w:val="00F0698F"/>
    <w:rsid w:val="00F11289"/>
    <w:rsid w:val="00F113D3"/>
    <w:rsid w:val="00F11FD6"/>
    <w:rsid w:val="00F20059"/>
    <w:rsid w:val="00F206A9"/>
    <w:rsid w:val="00F20FAC"/>
    <w:rsid w:val="00F21D06"/>
    <w:rsid w:val="00F2224E"/>
    <w:rsid w:val="00F257EA"/>
    <w:rsid w:val="00F32F86"/>
    <w:rsid w:val="00F32FF9"/>
    <w:rsid w:val="00F42D32"/>
    <w:rsid w:val="00F50934"/>
    <w:rsid w:val="00F510B1"/>
    <w:rsid w:val="00F5216B"/>
    <w:rsid w:val="00F523F6"/>
    <w:rsid w:val="00F52D78"/>
    <w:rsid w:val="00F5748E"/>
    <w:rsid w:val="00F60E75"/>
    <w:rsid w:val="00F6293C"/>
    <w:rsid w:val="00F702E5"/>
    <w:rsid w:val="00F7211F"/>
    <w:rsid w:val="00F73343"/>
    <w:rsid w:val="00F74A1A"/>
    <w:rsid w:val="00F77505"/>
    <w:rsid w:val="00F809C3"/>
    <w:rsid w:val="00F8366B"/>
    <w:rsid w:val="00F8499A"/>
    <w:rsid w:val="00F86050"/>
    <w:rsid w:val="00F87A78"/>
    <w:rsid w:val="00F951A3"/>
    <w:rsid w:val="00F9593F"/>
    <w:rsid w:val="00F969DA"/>
    <w:rsid w:val="00F97AAC"/>
    <w:rsid w:val="00FA1842"/>
    <w:rsid w:val="00FA5441"/>
    <w:rsid w:val="00FB1EA9"/>
    <w:rsid w:val="00FB4A57"/>
    <w:rsid w:val="00FB4C5D"/>
    <w:rsid w:val="00FB4E57"/>
    <w:rsid w:val="00FB6730"/>
    <w:rsid w:val="00FC01A5"/>
    <w:rsid w:val="00FC03E9"/>
    <w:rsid w:val="00FC24A9"/>
    <w:rsid w:val="00FC4624"/>
    <w:rsid w:val="00FC4CBE"/>
    <w:rsid w:val="00FC53A3"/>
    <w:rsid w:val="00FD446D"/>
    <w:rsid w:val="00FD4CFE"/>
    <w:rsid w:val="00FE1EDC"/>
    <w:rsid w:val="00FE233E"/>
    <w:rsid w:val="00FE393E"/>
    <w:rsid w:val="00FE3DA8"/>
    <w:rsid w:val="00FE4AFC"/>
    <w:rsid w:val="00FE59B3"/>
    <w:rsid w:val="00FF12E4"/>
    <w:rsid w:val="00FF2A87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102DBD2B"/>
  <w15:docId w15:val="{C4684333-A516-4E93-AD02-80151518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45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B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75EA9"/>
    <w:pPr>
      <w:spacing w:line="360" w:lineRule="auto"/>
      <w:jc w:val="both"/>
    </w:pPr>
    <w:rPr>
      <w:rFonts w:ascii="Arial" w:hAnsi="Arial" w:cs="Arial"/>
      <w:szCs w:val="28"/>
    </w:rPr>
  </w:style>
  <w:style w:type="paragraph" w:styleId="Tekstpodstawowywcity">
    <w:name w:val="Body Text Indent"/>
    <w:basedOn w:val="Normalny"/>
    <w:rsid w:val="00F951A3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semiHidden/>
    <w:rsid w:val="00A93D5C"/>
    <w:rPr>
      <w:sz w:val="20"/>
      <w:szCs w:val="20"/>
    </w:rPr>
  </w:style>
  <w:style w:type="character" w:styleId="Odwoanieprzypisudolnego">
    <w:name w:val="footnote reference"/>
    <w:aliases w:val="Odwołanie przypisu,Footnote number,SUPERS,Footnote symbol,fr,o,Nota,(NECG) Footnote Reference,Footnote reference number,note TESI,EN Footnote Reference,BVI fnr,FZ,(Voetnootmarkering),Footnote Reference Number"/>
    <w:basedOn w:val="Domylnaczcionkaakapitu"/>
    <w:qFormat/>
    <w:rsid w:val="00A93D5C"/>
    <w:rPr>
      <w:vertAlign w:val="superscript"/>
    </w:rPr>
  </w:style>
  <w:style w:type="table" w:styleId="Tabela-Siatka">
    <w:name w:val="Table Grid"/>
    <w:basedOn w:val="Standardowy"/>
    <w:uiPriority w:val="39"/>
    <w:rsid w:val="00C0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84C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1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1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5C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05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5C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A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A24"/>
  </w:style>
  <w:style w:type="character" w:styleId="Odwoanieprzypisukocowego">
    <w:name w:val="endnote reference"/>
    <w:basedOn w:val="Domylnaczcionkaakapitu"/>
    <w:uiPriority w:val="99"/>
    <w:semiHidden/>
    <w:unhideWhenUsed/>
    <w:rsid w:val="006E2A2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30B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0B1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86050"/>
    <w:rPr>
      <w:color w:val="808080"/>
    </w:rPr>
  </w:style>
  <w:style w:type="paragraph" w:styleId="Akapitzlist">
    <w:name w:val="List Paragraph"/>
    <w:basedOn w:val="Normalny"/>
    <w:uiPriority w:val="34"/>
    <w:qFormat/>
    <w:rsid w:val="00063C81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B5775C"/>
  </w:style>
  <w:style w:type="paragraph" w:customStyle="1" w:styleId="txtprzypisy">
    <w:name w:val="txt przypisy"/>
    <w:basedOn w:val="Normalny"/>
    <w:uiPriority w:val="99"/>
    <w:rsid w:val="00905FC2"/>
    <w:pPr>
      <w:widowControl w:val="0"/>
      <w:tabs>
        <w:tab w:val="right" w:pos="320"/>
      </w:tabs>
      <w:autoSpaceDE w:val="0"/>
      <w:autoSpaceDN w:val="0"/>
      <w:adjustRightInd w:val="0"/>
      <w:spacing w:line="288" w:lineRule="auto"/>
      <w:ind w:left="380" w:hanging="380"/>
      <w:textAlignment w:val="center"/>
    </w:pPr>
    <w:rPr>
      <w:rFonts w:ascii="CentSchbook Win95BT" w:hAnsi="CentSchbook Win95BT" w:cs="CentSchbook Win95BT"/>
      <w:color w:val="000000"/>
      <w:spacing w:val="-2"/>
      <w:sz w:val="16"/>
      <w:szCs w:val="16"/>
      <w:lang w:val="en-US"/>
    </w:rPr>
  </w:style>
  <w:style w:type="character" w:styleId="Pogrubienie">
    <w:name w:val="Strong"/>
    <w:uiPriority w:val="22"/>
    <w:qFormat/>
    <w:rsid w:val="00FE4AFC"/>
    <w:rPr>
      <w:b/>
      <w:bCs/>
    </w:rPr>
  </w:style>
  <w:style w:type="paragraph" w:customStyle="1" w:styleId="Standard">
    <w:name w:val="Standard"/>
    <w:rsid w:val="00372CF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9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1">
    <w:name w:val="Styl1"/>
    <w:basedOn w:val="Normalny"/>
    <w:qFormat/>
    <w:rsid w:val="00AF0A68"/>
    <w:pPr>
      <w:tabs>
        <w:tab w:val="left" w:pos="567"/>
      </w:tabs>
      <w:ind w:firstLine="567"/>
      <w:jc w:val="both"/>
    </w:pPr>
    <w:rPr>
      <w:rFonts w:cs="Minion 3"/>
      <w:color w:val="221E1F"/>
      <w:szCs w:val="25"/>
    </w:rPr>
  </w:style>
  <w:style w:type="table" w:styleId="Siatkatabelijasna">
    <w:name w:val="Grid Table Light"/>
    <w:basedOn w:val="Standardowy"/>
    <w:uiPriority w:val="40"/>
    <w:rsid w:val="004D0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4D080A"/>
    <w:pPr>
      <w:spacing w:after="200"/>
    </w:pPr>
    <w:rPr>
      <w:i/>
      <w:iCs/>
      <w:color w:val="1F497D" w:themeColor="text2"/>
      <w:sz w:val="18"/>
      <w:szCs w:val="18"/>
    </w:rPr>
  </w:style>
  <w:style w:type="table" w:styleId="Zwykatabela1">
    <w:name w:val="Plain Table 1"/>
    <w:basedOn w:val="Standardowy"/>
    <w:uiPriority w:val="41"/>
    <w:rsid w:val="00DC07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">
    <w:name w:val="List"/>
    <w:basedOn w:val="Normalny"/>
    <w:uiPriority w:val="99"/>
    <w:unhideWhenUsed/>
    <w:rsid w:val="00265A6F"/>
    <w:pPr>
      <w:tabs>
        <w:tab w:val="left" w:pos="567"/>
      </w:tabs>
      <w:ind w:left="283" w:hanging="283"/>
      <w:contextualSpacing/>
      <w:jc w:val="both"/>
    </w:pPr>
  </w:style>
  <w:style w:type="character" w:styleId="Odwoaniedelikatne">
    <w:name w:val="Subtle Reference"/>
    <w:basedOn w:val="Domylnaczcionkaakapitu"/>
    <w:uiPriority w:val="31"/>
    <w:qFormat/>
    <w:rsid w:val="00265A6F"/>
    <w:rPr>
      <w:color w:val="5A5A5A" w:themeColor="text1" w:themeTint="A5"/>
    </w:rPr>
  </w:style>
  <w:style w:type="paragraph" w:styleId="Bezodstpw">
    <w:name w:val="No Spacing"/>
    <w:uiPriority w:val="1"/>
    <w:qFormat/>
    <w:rsid w:val="00265A6F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rsid w:val="000D172A"/>
    <w:pPr>
      <w:tabs>
        <w:tab w:val="left" w:pos="567"/>
      </w:tabs>
      <w:spacing w:before="100" w:beforeAutospacing="1" w:after="100" w:afterAutospacing="1"/>
      <w:ind w:firstLine="567"/>
      <w:jc w:val="both"/>
    </w:pPr>
    <w:rPr>
      <w:rFonts w:ascii="Verdana" w:eastAsia="Arial Unicode MS" w:hAnsi="Verdana" w:cs="Arial Unicode MS"/>
      <w:sz w:val="15"/>
      <w:szCs w:val="15"/>
    </w:rPr>
  </w:style>
  <w:style w:type="character" w:customStyle="1" w:styleId="vlist-s">
    <w:name w:val="vlist-s"/>
    <w:basedOn w:val="Domylnaczcionkaakapitu"/>
    <w:rsid w:val="008F5171"/>
  </w:style>
  <w:style w:type="table" w:customStyle="1" w:styleId="Tabela-Siatka1">
    <w:name w:val="Tabela - Siatka1"/>
    <w:basedOn w:val="Standardowy"/>
    <w:next w:val="Tabela-Siatka"/>
    <w:uiPriority w:val="39"/>
    <w:rsid w:val="007264B3"/>
    <w:rPr>
      <w:rFonts w:ascii="Aptos" w:eastAsia="Aptos" w:hAnsi="Aptos" w:cs="Arial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64B3"/>
    <w:rPr>
      <w:rFonts w:ascii="Aptos" w:eastAsia="Aptos" w:hAnsi="Aptos" w:cs="Arial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magog.org.pl/wypowiedzi/w-jaki-sposob-rozporzadzenie-dublin-iii-reguluje-przejmowanie-migrantow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Ranking po modyfikacji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Arkusz2!$O$14:$O$21</c:f>
              <c:strCache>
                <c:ptCount val="8"/>
                <c:pt idx="0">
                  <c:v>D4</c:v>
                </c:pt>
                <c:pt idx="1">
                  <c:v>D6</c:v>
                </c:pt>
                <c:pt idx="2">
                  <c:v>D3</c:v>
                </c:pt>
                <c:pt idx="3">
                  <c:v>D5</c:v>
                </c:pt>
                <c:pt idx="4">
                  <c:v>D1</c:v>
                </c:pt>
                <c:pt idx="5">
                  <c:v>D8</c:v>
                </c:pt>
                <c:pt idx="6">
                  <c:v>D2</c:v>
                </c:pt>
                <c:pt idx="7">
                  <c:v>D7</c:v>
                </c:pt>
              </c:strCache>
            </c:strRef>
          </c:cat>
          <c:val>
            <c:numRef>
              <c:f>Arkusz2!$P$14:$P$21</c:f>
              <c:numCache>
                <c:formatCode>General</c:formatCode>
                <c:ptCount val="8"/>
                <c:pt idx="0">
                  <c:v>0.67338600000000004</c:v>
                </c:pt>
                <c:pt idx="1">
                  <c:v>0.64859299999999998</c:v>
                </c:pt>
                <c:pt idx="2">
                  <c:v>0.62744699999999998</c:v>
                </c:pt>
                <c:pt idx="3">
                  <c:v>0.55295899999999998</c:v>
                </c:pt>
                <c:pt idx="4">
                  <c:v>0.48713099999999998</c:v>
                </c:pt>
                <c:pt idx="5">
                  <c:v>0.46950700000000001</c:v>
                </c:pt>
                <c:pt idx="6">
                  <c:v>0.451428</c:v>
                </c:pt>
                <c:pt idx="7">
                  <c:v>0.36454199999999998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D5-4E48-9340-99C0E710A9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5712448"/>
        <c:axId val="455712928"/>
      </c:barChart>
      <c:catAx>
        <c:axId val="45571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5712928"/>
        <c:crosses val="autoZero"/>
        <c:auto val="1"/>
        <c:lblAlgn val="ctr"/>
        <c:lblOffset val="100"/>
        <c:noMultiLvlLbl val="0"/>
      </c:catAx>
      <c:valAx>
        <c:axId val="45571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571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0CD6-6506-4B3A-B8A6-7CED75E7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VBW</vt:lpstr>
      <vt:lpstr>TOCZENIE</vt:lpstr>
    </vt:vector>
  </TitlesOfParts>
  <Company>PWSZ w Nysie</Company>
  <LinksUpToDate>false</LinksUpToDate>
  <CharactersWithSpaces>4838</CharactersWithSpaces>
  <SharedDoc>false</SharedDoc>
  <HLinks>
    <vt:vector size="6" baseType="variant">
      <vt:variant>
        <vt:i4>3932201</vt:i4>
      </vt:variant>
      <vt:variant>
        <vt:i4>0</vt:i4>
      </vt:variant>
      <vt:variant>
        <vt:i4>0</vt:i4>
      </vt:variant>
      <vt:variant>
        <vt:i4>5</vt:i4>
      </vt:variant>
      <vt:variant>
        <vt:lpwstr>http://languag2.home,sprynet.com/f/evidence.htm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VBW</dc:title>
  <dc:creator>Ewa Bernat</dc:creator>
  <cp:lastModifiedBy>Teresa Kokot</cp:lastModifiedBy>
  <cp:revision>2</cp:revision>
  <cp:lastPrinted>2015-11-03T08:55:00Z</cp:lastPrinted>
  <dcterms:created xsi:type="dcterms:W3CDTF">2026-06-09T13:53:00Z</dcterms:created>
  <dcterms:modified xsi:type="dcterms:W3CDTF">2026-06-09T13:53:00Z</dcterms:modified>
</cp:coreProperties>
</file>